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0C" w:rsidRPr="00CF34E7" w:rsidRDefault="008F6B0C" w:rsidP="008F6B0C">
      <w:pPr>
        <w:spacing w:before="360" w:after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B0C" w:rsidRPr="00CF34E7" w:rsidRDefault="008F6B0C" w:rsidP="008F6B0C">
      <w:pPr>
        <w:spacing w:after="60" w:line="36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CF34E7">
        <w:rPr>
          <w:rFonts w:ascii="Times New Roman" w:hAnsi="Times New Roman" w:cs="Times New Roman"/>
          <w:b/>
          <w:snapToGrid w:val="0"/>
          <w:sz w:val="28"/>
          <w:szCs w:val="28"/>
        </w:rPr>
        <w:t>Национален план за възстановяване и устойчивост</w:t>
      </w:r>
    </w:p>
    <w:p w:rsidR="00C004F2" w:rsidRPr="00CF34E7" w:rsidRDefault="00C004F2" w:rsidP="00C004F2">
      <w:pPr>
        <w:spacing w:after="60" w:line="36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CF34E7">
        <w:rPr>
          <w:rFonts w:ascii="Times New Roman" w:hAnsi="Times New Roman" w:cs="Times New Roman"/>
          <w:b/>
          <w:snapToGrid w:val="0"/>
          <w:sz w:val="28"/>
          <w:szCs w:val="28"/>
        </w:rPr>
        <w:t>Компонент 11 „Социално включване“</w:t>
      </w:r>
    </w:p>
    <w:p w:rsidR="008F6B0C" w:rsidRPr="00CF34E7" w:rsidRDefault="00C004F2" w:rsidP="00C004F2">
      <w:pPr>
        <w:spacing w:after="60" w:line="36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CF34E7">
        <w:rPr>
          <w:rFonts w:ascii="Times New Roman" w:hAnsi="Times New Roman" w:cs="Times New Roman"/>
          <w:b/>
          <w:snapToGrid w:val="0"/>
          <w:sz w:val="28"/>
          <w:szCs w:val="28"/>
        </w:rPr>
        <w:t>Инвестиция С11.I6: „Развитие на културните и творчески сектори“</w:t>
      </w:r>
    </w:p>
    <w:p w:rsidR="008F6B0C" w:rsidRPr="00CF34E7" w:rsidRDefault="008F6B0C" w:rsidP="008F6B0C">
      <w:pPr>
        <w:spacing w:before="360" w:after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B0C" w:rsidRPr="00CF34E7" w:rsidRDefault="008F6B0C" w:rsidP="008F6B0C">
      <w:pPr>
        <w:spacing w:before="360"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4E7">
        <w:rPr>
          <w:rFonts w:ascii="Times New Roman" w:hAnsi="Times New Roman" w:cs="Times New Roman"/>
          <w:b/>
          <w:sz w:val="28"/>
          <w:szCs w:val="28"/>
        </w:rPr>
        <w:t>УСЛОВИЯ ЗА КАНДИДАТСТВАНЕ</w:t>
      </w:r>
    </w:p>
    <w:p w:rsidR="008F6B0C" w:rsidRPr="00CF34E7" w:rsidRDefault="008F6B0C" w:rsidP="008F6B0C">
      <w:pPr>
        <w:spacing w:before="360"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4E7">
        <w:rPr>
          <w:rFonts w:ascii="Times New Roman" w:hAnsi="Times New Roman" w:cs="Times New Roman"/>
          <w:b/>
          <w:sz w:val="28"/>
          <w:szCs w:val="28"/>
        </w:rPr>
        <w:t>по</w:t>
      </w:r>
    </w:p>
    <w:p w:rsidR="008F6B0C" w:rsidRPr="00CF34E7" w:rsidRDefault="008F6B0C" w:rsidP="008F6B0C">
      <w:pPr>
        <w:spacing w:before="360" w:after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B0C" w:rsidRPr="00CF34E7" w:rsidRDefault="008F6B0C" w:rsidP="008F6B0C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4E7">
        <w:rPr>
          <w:rFonts w:ascii="Times New Roman" w:hAnsi="Times New Roman" w:cs="Times New Roman"/>
          <w:b/>
          <w:sz w:val="28"/>
          <w:szCs w:val="28"/>
        </w:rPr>
        <w:t>по процедура чрез подбор на предложения за изпълнение на инвестиции от крайни получатели</w:t>
      </w:r>
    </w:p>
    <w:p w:rsidR="008F6B0C" w:rsidRPr="00CF34E7" w:rsidRDefault="00C004F2" w:rsidP="008F6B0C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4E7">
        <w:rPr>
          <w:rFonts w:ascii="Times New Roman" w:hAnsi="Times New Roman" w:cs="Times New Roman"/>
          <w:b/>
          <w:sz w:val="28"/>
          <w:szCs w:val="28"/>
        </w:rPr>
        <w:t>BG-RRP-11.015</w:t>
      </w:r>
      <w:r w:rsidR="008F6B0C" w:rsidRPr="00CF3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4CB" w:rsidRPr="00CF34E7">
        <w:rPr>
          <w:rFonts w:ascii="Times New Roman" w:hAnsi="Times New Roman" w:cs="Times New Roman"/>
          <w:b/>
          <w:sz w:val="28"/>
          <w:szCs w:val="28"/>
        </w:rPr>
        <w:t>Схема за безвъзмездна помощ в четири сесии „Създаване на български продукции и копродукции в сектора на КТИ“</w:t>
      </w:r>
    </w:p>
    <w:p w:rsidR="008F6B0C" w:rsidRPr="00CF34E7" w:rsidRDefault="008F6B0C" w:rsidP="008F6B0C">
      <w:pPr>
        <w:spacing w:before="360" w:after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B0C" w:rsidRPr="00CF34E7" w:rsidRDefault="008F6B0C" w:rsidP="008F6B0C">
      <w:pPr>
        <w:spacing w:before="360" w:after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B0C" w:rsidRPr="00CF34E7" w:rsidRDefault="008F6B0C" w:rsidP="008F6B0C">
      <w:pPr>
        <w:spacing w:before="360"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4E7">
        <w:rPr>
          <w:rFonts w:ascii="Times New Roman" w:hAnsi="Times New Roman" w:cs="Times New Roman"/>
          <w:b/>
          <w:sz w:val="28"/>
          <w:szCs w:val="28"/>
        </w:rPr>
        <w:t>Национален фонд „Култура“</w:t>
      </w:r>
    </w:p>
    <w:p w:rsidR="008F6B0C" w:rsidRPr="00CF34E7" w:rsidRDefault="008F6B0C" w:rsidP="008F6B0C">
      <w:pPr>
        <w:spacing w:before="720" w:after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B" w:rsidRPr="00CD1C33" w:rsidRDefault="00084D2E" w:rsidP="00CD1C33">
      <w:pPr>
        <w:spacing w:after="240"/>
        <w:jc w:val="center"/>
        <w:rPr>
          <w:rFonts w:ascii="Times New Roman" w:eastAsia="Cambria" w:hAnsi="Times New Roman" w:cs="Times New Roman"/>
          <w:b/>
          <w:color w:val="0070C0"/>
          <w:sz w:val="28"/>
          <w:szCs w:val="28"/>
          <w:lang w:val="en-US"/>
        </w:rPr>
      </w:pPr>
      <w:r w:rsidRPr="00CF34E7">
        <w:rPr>
          <w:rFonts w:ascii="Times New Roman" w:hAnsi="Times New Roman" w:cs="Times New Roman"/>
          <w:color w:val="0070C0"/>
          <w:sz w:val="28"/>
          <w:szCs w:val="28"/>
        </w:rPr>
        <w:br w:type="page"/>
      </w:r>
    </w:p>
    <w:p w:rsidR="000578BC" w:rsidRPr="00CF34E7" w:rsidRDefault="00084D2E" w:rsidP="00BB36C1">
      <w:pPr>
        <w:pStyle w:val="Heading1"/>
        <w:spacing w:before="120" w:after="120"/>
        <w:jc w:val="center"/>
        <w:rPr>
          <w:rFonts w:ascii="Times New Roman" w:eastAsia="Cambria" w:hAnsi="Times New Roman" w:cs="Times New Roman"/>
          <w:color w:val="auto"/>
          <w:lang w:val="bg-BG"/>
        </w:rPr>
      </w:pPr>
      <w:bookmarkStart w:id="0" w:name="_Toc151332328"/>
      <w:r w:rsidRPr="00CF34E7">
        <w:rPr>
          <w:rFonts w:ascii="Times New Roman" w:eastAsia="Cambria" w:hAnsi="Times New Roman" w:cs="Times New Roman"/>
          <w:color w:val="auto"/>
          <w:lang w:val="bg-BG"/>
        </w:rPr>
        <w:lastRenderedPageBreak/>
        <w:t>РЕЗЮМЕ</w:t>
      </w:r>
      <w:bookmarkEnd w:id="0"/>
    </w:p>
    <w:tbl>
      <w:tblPr>
        <w:tblStyle w:val="aff8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23"/>
        <w:gridCol w:w="6383"/>
      </w:tblGrid>
      <w:tr w:rsidR="008F6B0C" w:rsidRPr="00CF34E7" w:rsidTr="00BB36C1">
        <w:tc>
          <w:tcPr>
            <w:tcW w:w="3823" w:type="dxa"/>
            <w:vAlign w:val="center"/>
          </w:tcPr>
          <w:p w:rsidR="000578BC" w:rsidRPr="00AF647B" w:rsidRDefault="00084D2E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rFonts w:eastAsia="Cambria"/>
                <w:b/>
                <w:sz w:val="28"/>
                <w:szCs w:val="28"/>
              </w:rPr>
              <w:t xml:space="preserve">Код и наименование на процедурата </w:t>
            </w:r>
          </w:p>
        </w:tc>
        <w:tc>
          <w:tcPr>
            <w:tcW w:w="6383" w:type="dxa"/>
          </w:tcPr>
          <w:p w:rsidR="000578BC" w:rsidRPr="00CF34E7" w:rsidRDefault="00084D2E">
            <w:pPr>
              <w:rPr>
                <w:rFonts w:eastAsia="Cambria"/>
                <w:sz w:val="28"/>
                <w:szCs w:val="28"/>
              </w:rPr>
            </w:pPr>
            <w:bookmarkStart w:id="1" w:name="_heading=h.1fob9te" w:colFirst="0" w:colLast="0"/>
            <w:bookmarkEnd w:id="1"/>
            <w:r w:rsidRPr="00CF34E7">
              <w:rPr>
                <w:rFonts w:eastAsia="Cambria"/>
                <w:sz w:val="28"/>
                <w:szCs w:val="28"/>
              </w:rPr>
              <w:t xml:space="preserve">Схема за безвъзмездна </w:t>
            </w:r>
            <w:r w:rsidR="00AB7058" w:rsidRPr="00CF34E7">
              <w:rPr>
                <w:rFonts w:eastAsia="Cambria"/>
                <w:sz w:val="28"/>
                <w:szCs w:val="28"/>
              </w:rPr>
              <w:t>помощ в четири сесии „</w:t>
            </w:r>
            <w:r w:rsidR="00F318D8" w:rsidRPr="00CF34E7">
              <w:rPr>
                <w:rFonts w:eastAsia="Cambria"/>
                <w:sz w:val="28"/>
                <w:szCs w:val="28"/>
              </w:rPr>
              <w:t>Създаване</w:t>
            </w:r>
            <w:r w:rsidRPr="00CF34E7">
              <w:rPr>
                <w:rFonts w:eastAsia="Cambria"/>
                <w:sz w:val="28"/>
                <w:szCs w:val="28"/>
              </w:rPr>
              <w:t xml:space="preserve"> на български продукции</w:t>
            </w:r>
            <w:r w:rsidR="00AB7058" w:rsidRPr="00CF34E7">
              <w:rPr>
                <w:rFonts w:eastAsia="Cambria"/>
                <w:sz w:val="28"/>
                <w:szCs w:val="28"/>
              </w:rPr>
              <w:t xml:space="preserve"> и копродукции в сектора на КТИ“</w:t>
            </w:r>
          </w:p>
        </w:tc>
      </w:tr>
      <w:tr w:rsidR="00937DFD" w:rsidRPr="00CF34E7" w:rsidTr="00BB36C1">
        <w:tc>
          <w:tcPr>
            <w:tcW w:w="3823" w:type="dxa"/>
            <w:vAlign w:val="center"/>
          </w:tcPr>
          <w:p w:rsidR="00937DFD" w:rsidRPr="00AF647B" w:rsidRDefault="00937DFD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b/>
                <w:bCs/>
                <w:sz w:val="28"/>
                <w:szCs w:val="28"/>
                <w:lang w:eastAsia="bg-BG"/>
              </w:rPr>
              <w:t>Финансиращ механизъм</w:t>
            </w:r>
          </w:p>
        </w:tc>
        <w:tc>
          <w:tcPr>
            <w:tcW w:w="6383" w:type="dxa"/>
          </w:tcPr>
          <w:p w:rsidR="00937DFD" w:rsidRPr="00CF34E7" w:rsidRDefault="00937DFD" w:rsidP="00303170">
            <w:pPr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>Механизъм за възстановяване и устойчивост (МВУ) на ЕС, създаден с Регламент (ЕС) 2021/241.</w:t>
            </w:r>
          </w:p>
          <w:p w:rsidR="00937DFD" w:rsidRPr="00CF34E7" w:rsidRDefault="00937DFD" w:rsidP="00303170">
            <w:pPr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 xml:space="preserve">Финансирането по процедурата е по Стълб „Справедлива България“ </w:t>
            </w:r>
          </w:p>
          <w:p w:rsidR="00937DFD" w:rsidRPr="00CF34E7" w:rsidRDefault="00937DFD">
            <w:pPr>
              <w:rPr>
                <w:rFonts w:eastAsia="Cambria"/>
                <w:color w:val="0070C0"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>на МВУ (чл. 3, буква „д“ от Регламент (ЕС) 2021/241)</w:t>
            </w:r>
          </w:p>
        </w:tc>
      </w:tr>
      <w:tr w:rsidR="00937DFD" w:rsidRPr="00CF34E7" w:rsidTr="00BB36C1">
        <w:tc>
          <w:tcPr>
            <w:tcW w:w="3823" w:type="dxa"/>
            <w:vAlign w:val="center"/>
          </w:tcPr>
          <w:p w:rsidR="00937DFD" w:rsidRPr="00AF647B" w:rsidRDefault="00937DFD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b/>
                <w:bCs/>
                <w:sz w:val="28"/>
                <w:szCs w:val="28"/>
                <w:lang w:eastAsia="bg-BG"/>
              </w:rPr>
              <w:t xml:space="preserve">Компонент и инвестиция от </w:t>
            </w:r>
            <w:r w:rsidRPr="00AF647B">
              <w:rPr>
                <w:b/>
                <w:sz w:val="28"/>
                <w:szCs w:val="28"/>
              </w:rPr>
              <w:t>Плана за възстановяване и устойчивост (ПВУ) на Република България</w:t>
            </w:r>
          </w:p>
        </w:tc>
        <w:tc>
          <w:tcPr>
            <w:tcW w:w="6383" w:type="dxa"/>
            <w:shd w:val="clear" w:color="auto" w:fill="auto"/>
          </w:tcPr>
          <w:p w:rsidR="00937DFD" w:rsidRPr="00CF34E7" w:rsidRDefault="00C004F2">
            <w:pPr>
              <w:rPr>
                <w:rFonts w:eastAsia="Cambria"/>
                <w:color w:val="0070C0"/>
                <w:sz w:val="28"/>
                <w:szCs w:val="28"/>
              </w:rPr>
            </w:pPr>
            <w:bookmarkStart w:id="2" w:name="_heading=h.3znysh7" w:colFirst="0" w:colLast="0"/>
            <w:bookmarkEnd w:id="2"/>
            <w:r w:rsidRPr="00CF34E7">
              <w:rPr>
                <w:bCs/>
                <w:sz w:val="28"/>
                <w:szCs w:val="28"/>
              </w:rPr>
              <w:t xml:space="preserve">Компонент 11„Социално включване“, Инвестиция С11.I6: Развитие на културните и творчески сектори </w:t>
            </w:r>
          </w:p>
        </w:tc>
      </w:tr>
      <w:tr w:rsidR="00937DFD" w:rsidRPr="00CF34E7" w:rsidTr="00BB36C1">
        <w:tc>
          <w:tcPr>
            <w:tcW w:w="3823" w:type="dxa"/>
            <w:vAlign w:val="center"/>
          </w:tcPr>
          <w:p w:rsidR="00937DFD" w:rsidRPr="00AF647B" w:rsidRDefault="00937DFD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b/>
                <w:bCs/>
                <w:sz w:val="28"/>
                <w:szCs w:val="28"/>
                <w:lang w:eastAsia="bg-BG"/>
              </w:rPr>
              <w:t>Ключов(и) етап(и) и цел(и) на ПВУ,  изпълнявани чрез инвестициите, финансирани по  процедурата</w:t>
            </w:r>
          </w:p>
        </w:tc>
        <w:tc>
          <w:tcPr>
            <w:tcW w:w="6383" w:type="dxa"/>
            <w:shd w:val="clear" w:color="auto" w:fill="auto"/>
          </w:tcPr>
          <w:p w:rsidR="00937DFD" w:rsidRPr="00CF34E7" w:rsidRDefault="00937DFD" w:rsidP="00303170">
            <w:pPr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>№ 308 Подкрепа за европейско културно сътрудничество</w:t>
            </w:r>
          </w:p>
          <w:p w:rsidR="00937DFD" w:rsidRPr="00CF34E7" w:rsidRDefault="00937DFD">
            <w:pPr>
              <w:rPr>
                <w:rFonts w:eastAsia="Cambria"/>
                <w:color w:val="0070C0"/>
                <w:sz w:val="28"/>
                <w:szCs w:val="28"/>
                <w:shd w:val="clear" w:color="auto" w:fill="FFF2CC"/>
              </w:rPr>
            </w:pPr>
          </w:p>
        </w:tc>
      </w:tr>
      <w:tr w:rsidR="00937DFD" w:rsidRPr="00CF34E7" w:rsidTr="00BB36C1">
        <w:tc>
          <w:tcPr>
            <w:tcW w:w="3823" w:type="dxa"/>
            <w:vAlign w:val="center"/>
          </w:tcPr>
          <w:p w:rsidR="00937DFD" w:rsidRPr="00AF647B" w:rsidRDefault="00937DFD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b/>
                <w:bCs/>
                <w:sz w:val="28"/>
                <w:szCs w:val="28"/>
                <w:lang w:eastAsia="bg-BG"/>
              </w:rPr>
              <w:t>Форма на финансиране</w:t>
            </w:r>
          </w:p>
        </w:tc>
        <w:tc>
          <w:tcPr>
            <w:tcW w:w="6383" w:type="dxa"/>
            <w:tcBorders>
              <w:bottom w:val="single" w:sz="4" w:space="0" w:color="000000"/>
            </w:tcBorders>
          </w:tcPr>
          <w:p w:rsidR="00937DFD" w:rsidRPr="00CF34E7" w:rsidRDefault="00937DFD">
            <w:pPr>
              <w:rPr>
                <w:rFonts w:eastAsia="Cambria"/>
                <w:color w:val="0070C0"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>Финансова помощ се предоставя в рамките на наличните средства по процедурата под формата на възстановяване на действително направени и платени допустими разходи.</w:t>
            </w:r>
          </w:p>
        </w:tc>
      </w:tr>
      <w:tr w:rsidR="00937DFD" w:rsidRPr="00CF34E7" w:rsidTr="00BB36C1"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937DFD" w:rsidRPr="00AF647B" w:rsidRDefault="00937DFD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b/>
                <w:bCs/>
                <w:sz w:val="28"/>
                <w:szCs w:val="28"/>
                <w:lang w:eastAsia="bg-BG"/>
              </w:rPr>
              <w:t>Вид процедура</w:t>
            </w:r>
          </w:p>
        </w:tc>
        <w:tc>
          <w:tcPr>
            <w:tcW w:w="6383" w:type="dxa"/>
            <w:tcBorders>
              <w:bottom w:val="single" w:sz="4" w:space="0" w:color="000000"/>
            </w:tcBorders>
          </w:tcPr>
          <w:p w:rsidR="00937DFD" w:rsidRPr="00CF34E7" w:rsidRDefault="00937DFD" w:rsidP="00C004F2">
            <w:pPr>
              <w:rPr>
                <w:rFonts w:eastAsia="Cambria"/>
                <w:color w:val="0070C0"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 xml:space="preserve">Предоставяне на средства чрез подбор на предложения </w:t>
            </w:r>
            <w:r w:rsidR="00C004F2" w:rsidRPr="00CF34E7">
              <w:rPr>
                <w:bCs/>
                <w:sz w:val="28"/>
                <w:szCs w:val="28"/>
              </w:rPr>
              <w:t>от</w:t>
            </w:r>
            <w:r w:rsidRPr="00CF34E7">
              <w:rPr>
                <w:bCs/>
                <w:sz w:val="28"/>
                <w:szCs w:val="28"/>
              </w:rPr>
              <w:t xml:space="preserve"> крайни получатели</w:t>
            </w:r>
          </w:p>
        </w:tc>
      </w:tr>
      <w:tr w:rsidR="008F6B0C" w:rsidRPr="00CF34E7" w:rsidTr="00BB36C1"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0578BC" w:rsidRPr="00AF647B" w:rsidRDefault="00084D2E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rFonts w:eastAsia="Cambria"/>
                <w:b/>
                <w:sz w:val="28"/>
                <w:szCs w:val="28"/>
              </w:rPr>
              <w:t>Обща цел на процедурата</w:t>
            </w:r>
          </w:p>
        </w:tc>
        <w:tc>
          <w:tcPr>
            <w:tcW w:w="6383" w:type="dxa"/>
            <w:tcBorders>
              <w:bottom w:val="single" w:sz="4" w:space="0" w:color="000000"/>
            </w:tcBorders>
          </w:tcPr>
          <w:p w:rsidR="000578BC" w:rsidRPr="00CF34E7" w:rsidRDefault="00021E13" w:rsidP="00754A8D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Създаване и разпространение на български продукции и копродукции в сектора на КТИ</w:t>
            </w:r>
          </w:p>
        </w:tc>
      </w:tr>
      <w:tr w:rsidR="008F6B0C" w:rsidRPr="00CF34E7" w:rsidTr="00BB36C1">
        <w:tc>
          <w:tcPr>
            <w:tcW w:w="3823" w:type="dxa"/>
            <w:vAlign w:val="center"/>
          </w:tcPr>
          <w:p w:rsidR="000578BC" w:rsidRPr="00AF647B" w:rsidRDefault="00084D2E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rFonts w:eastAsia="Cambria"/>
                <w:b/>
                <w:sz w:val="28"/>
                <w:szCs w:val="28"/>
              </w:rPr>
              <w:t>Общ размер на средствата по процедурата</w:t>
            </w:r>
          </w:p>
        </w:tc>
        <w:tc>
          <w:tcPr>
            <w:tcW w:w="6383" w:type="dxa"/>
          </w:tcPr>
          <w:p w:rsidR="00CB2565" w:rsidRPr="00CF34E7" w:rsidRDefault="00CB2565" w:rsidP="00CB2565">
            <w:pPr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О</w:t>
            </w:r>
            <w:r w:rsidR="00084D2E" w:rsidRPr="00CF34E7">
              <w:rPr>
                <w:rFonts w:eastAsia="Cambria"/>
                <w:sz w:val="28"/>
                <w:szCs w:val="28"/>
              </w:rPr>
              <w:t>бщ</w:t>
            </w:r>
            <w:r w:rsidRPr="00CF34E7">
              <w:rPr>
                <w:rFonts w:eastAsia="Cambria"/>
                <w:sz w:val="28"/>
                <w:szCs w:val="28"/>
              </w:rPr>
              <w:t>ият</w:t>
            </w:r>
            <w:r w:rsidR="00084D2E" w:rsidRPr="00CF34E7">
              <w:rPr>
                <w:rFonts w:eastAsia="Cambria"/>
                <w:sz w:val="28"/>
                <w:szCs w:val="28"/>
              </w:rPr>
              <w:t xml:space="preserve"> бюджет </w:t>
            </w:r>
            <w:r w:rsidRPr="00CF34E7">
              <w:rPr>
                <w:rFonts w:eastAsia="Cambria"/>
                <w:sz w:val="28"/>
                <w:szCs w:val="28"/>
              </w:rPr>
              <w:t>е</w:t>
            </w:r>
            <w:r w:rsidR="00084D2E" w:rsidRPr="00CF34E7">
              <w:rPr>
                <w:rFonts w:eastAsia="Cambria"/>
                <w:sz w:val="28"/>
                <w:szCs w:val="28"/>
              </w:rPr>
              <w:t xml:space="preserve"> 22 534 000 лв.</w:t>
            </w:r>
            <w:r w:rsidR="00CF34E7" w:rsidRPr="00CF34E7">
              <w:rPr>
                <w:rFonts w:eastAsia="Cambria"/>
                <w:sz w:val="28"/>
                <w:szCs w:val="28"/>
              </w:rPr>
              <w:t xml:space="preserve"> </w:t>
            </w:r>
            <w:r w:rsidRPr="00CF34E7">
              <w:rPr>
                <w:rFonts w:eastAsia="Cambria"/>
                <w:sz w:val="28"/>
                <w:szCs w:val="28"/>
              </w:rPr>
              <w:t>и</w:t>
            </w:r>
            <w:r w:rsidR="00084D2E" w:rsidRPr="00CF34E7">
              <w:rPr>
                <w:rFonts w:eastAsia="Cambria"/>
                <w:sz w:val="28"/>
                <w:szCs w:val="28"/>
              </w:rPr>
              <w:t xml:space="preserve"> ще бъде разпределен поетапно в четири сесии. </w:t>
            </w:r>
          </w:p>
          <w:p w:rsidR="000578BC" w:rsidRPr="00CF34E7" w:rsidRDefault="00084D2E" w:rsidP="00AF647B">
            <w:pPr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За първа</w:t>
            </w:r>
            <w:r w:rsidR="00DF2050" w:rsidRPr="00CF34E7">
              <w:rPr>
                <w:rFonts w:eastAsia="Cambria"/>
                <w:sz w:val="28"/>
                <w:szCs w:val="28"/>
              </w:rPr>
              <w:t>та</w:t>
            </w:r>
            <w:r w:rsidRPr="00CF34E7">
              <w:rPr>
                <w:rFonts w:eastAsia="Cambria"/>
                <w:sz w:val="28"/>
                <w:szCs w:val="28"/>
              </w:rPr>
              <w:t xml:space="preserve"> сесия размерът на средствата по процедурата е </w:t>
            </w:r>
            <w:r w:rsidR="00AF647B">
              <w:rPr>
                <w:rFonts w:eastAsia="Cambria"/>
                <w:sz w:val="28"/>
                <w:szCs w:val="28"/>
              </w:rPr>
              <w:t>15 000 0</w:t>
            </w:r>
            <w:r w:rsidRPr="00CF34E7">
              <w:rPr>
                <w:rFonts w:eastAsia="Cambria"/>
                <w:sz w:val="28"/>
                <w:szCs w:val="28"/>
              </w:rPr>
              <w:t xml:space="preserve">00 лв., като останалият </w:t>
            </w:r>
            <w:r w:rsidRPr="00CF34E7">
              <w:rPr>
                <w:rFonts w:eastAsia="Cambria"/>
                <w:sz w:val="28"/>
                <w:szCs w:val="28"/>
              </w:rPr>
              <w:lastRenderedPageBreak/>
              <w:t xml:space="preserve">финансов ресурс ще </w:t>
            </w:r>
            <w:r w:rsidR="00DF2050" w:rsidRPr="00CF34E7">
              <w:rPr>
                <w:rFonts w:eastAsia="Cambria"/>
                <w:sz w:val="28"/>
                <w:szCs w:val="28"/>
              </w:rPr>
              <w:t>се разпредели</w:t>
            </w:r>
            <w:r w:rsidRPr="00CF34E7">
              <w:rPr>
                <w:rFonts w:eastAsia="Cambria"/>
                <w:sz w:val="28"/>
                <w:szCs w:val="28"/>
              </w:rPr>
              <w:t xml:space="preserve"> </w:t>
            </w:r>
            <w:r w:rsidR="00E55EFD" w:rsidRPr="00CF34E7">
              <w:rPr>
                <w:rFonts w:eastAsia="Cambria"/>
                <w:sz w:val="28"/>
                <w:szCs w:val="28"/>
              </w:rPr>
              <w:t xml:space="preserve">допълнително </w:t>
            </w:r>
            <w:r w:rsidR="00CB2565" w:rsidRPr="00CF34E7">
              <w:rPr>
                <w:rFonts w:eastAsia="Cambria"/>
                <w:sz w:val="28"/>
                <w:szCs w:val="28"/>
              </w:rPr>
              <w:t>до края</w:t>
            </w:r>
            <w:r w:rsidRPr="00CF34E7">
              <w:rPr>
                <w:rFonts w:eastAsia="Cambria"/>
                <w:sz w:val="28"/>
                <w:szCs w:val="28"/>
              </w:rPr>
              <w:t xml:space="preserve"> на 202</w:t>
            </w:r>
            <w:r w:rsidR="00E55EFD" w:rsidRPr="00CF34E7">
              <w:rPr>
                <w:rFonts w:eastAsia="Cambria"/>
                <w:sz w:val="28"/>
                <w:szCs w:val="28"/>
              </w:rPr>
              <w:t>5</w:t>
            </w:r>
            <w:r w:rsidRPr="00CF34E7">
              <w:rPr>
                <w:rFonts w:eastAsia="Cambria"/>
                <w:sz w:val="28"/>
                <w:szCs w:val="28"/>
              </w:rPr>
              <w:t xml:space="preserve"> г.   </w:t>
            </w:r>
          </w:p>
        </w:tc>
      </w:tr>
      <w:tr w:rsidR="008F6B0C" w:rsidRPr="00CF34E7" w:rsidTr="00BB36C1">
        <w:tc>
          <w:tcPr>
            <w:tcW w:w="3823" w:type="dxa"/>
            <w:vAlign w:val="center"/>
          </w:tcPr>
          <w:p w:rsidR="000578BC" w:rsidRPr="00AF647B" w:rsidRDefault="00084D2E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rFonts w:eastAsia="Cambria"/>
                <w:b/>
                <w:sz w:val="28"/>
                <w:szCs w:val="28"/>
              </w:rPr>
              <w:lastRenderedPageBreak/>
              <w:t>Допустим(и) кандидат(и)</w:t>
            </w:r>
          </w:p>
        </w:tc>
        <w:tc>
          <w:tcPr>
            <w:tcW w:w="6383" w:type="dxa"/>
          </w:tcPr>
          <w:p w:rsidR="000578BC" w:rsidRPr="00CF34E7" w:rsidRDefault="00084D2E" w:rsidP="00561362">
            <w:pPr>
              <w:rPr>
                <w:rFonts w:eastAsia="Cambria"/>
                <w:sz w:val="28"/>
                <w:szCs w:val="28"/>
              </w:rPr>
            </w:pPr>
            <w:bookmarkStart w:id="3" w:name="_heading=h.2et92p0" w:colFirst="0" w:colLast="0"/>
            <w:bookmarkEnd w:id="3"/>
            <w:r w:rsidRPr="00CF34E7">
              <w:rPr>
                <w:rFonts w:eastAsia="Cambria"/>
                <w:sz w:val="28"/>
                <w:szCs w:val="28"/>
              </w:rPr>
              <w:t>Кандидати по процедурата могат да бъдат културни организации по смисъла на Закона за закрила и развитие на културата, както и еднолични търговци с предмет на дейност в сферата на културата</w:t>
            </w:r>
          </w:p>
        </w:tc>
      </w:tr>
      <w:tr w:rsidR="008F6B0C" w:rsidRPr="00CF34E7" w:rsidTr="00BB36C1">
        <w:tc>
          <w:tcPr>
            <w:tcW w:w="3823" w:type="dxa"/>
            <w:vAlign w:val="center"/>
          </w:tcPr>
          <w:p w:rsidR="000578BC" w:rsidRPr="00AF647B" w:rsidRDefault="00084D2E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rFonts w:eastAsia="Cambria"/>
                <w:b/>
                <w:sz w:val="28"/>
                <w:szCs w:val="28"/>
              </w:rPr>
              <w:t xml:space="preserve">Допустими партньори </w:t>
            </w:r>
          </w:p>
        </w:tc>
        <w:tc>
          <w:tcPr>
            <w:tcW w:w="6383" w:type="dxa"/>
          </w:tcPr>
          <w:p w:rsidR="000578BC" w:rsidRPr="00CF34E7" w:rsidRDefault="00084D2E">
            <w:pPr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Не са допустими партньори по тази схема - не се предвижда партньорство, засягащо финансовото подпомагане по нея (не се допуска подялбата на финансиране между крайния получател и партньори). По настоящата процедура за подбор на проекти кандидатите участват индивидуално, а не съвместно с партньорски или други организации</w:t>
            </w:r>
          </w:p>
        </w:tc>
      </w:tr>
      <w:tr w:rsidR="00767211" w:rsidRPr="00CF34E7" w:rsidTr="00BB36C1">
        <w:tc>
          <w:tcPr>
            <w:tcW w:w="3823" w:type="dxa"/>
            <w:vAlign w:val="center"/>
          </w:tcPr>
          <w:p w:rsidR="00767211" w:rsidRPr="00767211" w:rsidRDefault="00767211">
            <w:pPr>
              <w:rPr>
                <w:rFonts w:eastAsia="Cambria"/>
                <w:b/>
                <w:sz w:val="28"/>
                <w:szCs w:val="28"/>
              </w:rPr>
            </w:pPr>
            <w:r w:rsidRPr="00767211">
              <w:rPr>
                <w:rFonts w:eastAsia="Cambria"/>
                <w:b/>
                <w:sz w:val="28"/>
                <w:szCs w:val="28"/>
              </w:rPr>
              <w:t>Копродукция</w:t>
            </w:r>
          </w:p>
        </w:tc>
        <w:tc>
          <w:tcPr>
            <w:tcW w:w="6383" w:type="dxa"/>
          </w:tcPr>
          <w:p w:rsidR="00767211" w:rsidRPr="00CF34E7" w:rsidRDefault="00767211">
            <w:pPr>
              <w:rPr>
                <w:rFonts w:eastAsia="Cambria"/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К</w:t>
            </w:r>
            <w:r w:rsidRPr="00767211">
              <w:rPr>
                <w:rFonts w:eastAsia="Cambria"/>
                <w:sz w:val="28"/>
                <w:szCs w:val="28"/>
              </w:rPr>
              <w:t>ултурен продукт, финансиран от поне две организаци</w:t>
            </w:r>
            <w:r>
              <w:rPr>
                <w:rFonts w:eastAsia="Cambria"/>
                <w:sz w:val="28"/>
                <w:szCs w:val="28"/>
              </w:rPr>
              <w:t>и, едната от които е кандидатът</w:t>
            </w:r>
          </w:p>
        </w:tc>
      </w:tr>
      <w:tr w:rsidR="008F6B0C" w:rsidRPr="00CF34E7" w:rsidTr="00BB36C1">
        <w:tc>
          <w:tcPr>
            <w:tcW w:w="3823" w:type="dxa"/>
            <w:vAlign w:val="center"/>
          </w:tcPr>
          <w:p w:rsidR="000578BC" w:rsidRPr="00AF647B" w:rsidRDefault="00084D2E">
            <w:pPr>
              <w:rPr>
                <w:rFonts w:eastAsia="Cambria"/>
                <w:b/>
                <w:sz w:val="28"/>
                <w:szCs w:val="28"/>
              </w:rPr>
            </w:pPr>
            <w:bookmarkStart w:id="4" w:name="_heading=h.tyjcwt" w:colFirst="0" w:colLast="0"/>
            <w:bookmarkEnd w:id="4"/>
            <w:r w:rsidRPr="00AF647B">
              <w:rPr>
                <w:rFonts w:eastAsia="Cambria"/>
                <w:b/>
                <w:sz w:val="28"/>
                <w:szCs w:val="28"/>
              </w:rPr>
              <w:t>Допустими дейности</w:t>
            </w:r>
          </w:p>
        </w:tc>
        <w:tc>
          <w:tcPr>
            <w:tcW w:w="6383" w:type="dxa"/>
          </w:tcPr>
          <w:p w:rsidR="000578BC" w:rsidRPr="00CF34E7" w:rsidRDefault="00084D2E">
            <w:pPr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Дейности, свързани със създаването и разпространението на български продукции и копродукции в сектора на КТИ</w:t>
            </w:r>
          </w:p>
        </w:tc>
      </w:tr>
      <w:tr w:rsidR="008F6B0C" w:rsidRPr="00CF34E7" w:rsidTr="00BB36C1">
        <w:tc>
          <w:tcPr>
            <w:tcW w:w="3823" w:type="dxa"/>
            <w:vAlign w:val="center"/>
          </w:tcPr>
          <w:p w:rsidR="000578BC" w:rsidRPr="00AF647B" w:rsidRDefault="00084D2E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rFonts w:eastAsia="Cambria"/>
                <w:b/>
                <w:sz w:val="28"/>
                <w:szCs w:val="28"/>
              </w:rPr>
              <w:t>Допустими разходи</w:t>
            </w:r>
            <w:r w:rsidRPr="00AF647B">
              <w:rPr>
                <w:rFonts w:eastAsia="Cambria"/>
                <w:sz w:val="28"/>
                <w:szCs w:val="28"/>
              </w:rPr>
              <w:t xml:space="preserve"> </w:t>
            </w:r>
          </w:p>
        </w:tc>
        <w:tc>
          <w:tcPr>
            <w:tcW w:w="6383" w:type="dxa"/>
          </w:tcPr>
          <w:p w:rsidR="002916BF" w:rsidRPr="00CF34E7" w:rsidRDefault="002916BF" w:rsidP="002916BF">
            <w:pPr>
              <w:rPr>
                <w:bCs/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При предоставяне на безвъзмездна финансова помощ по настоящата процедура ще бъдат взети под внимание само „допу</w:t>
            </w:r>
            <w:r w:rsidR="00561362" w:rsidRPr="00CF34E7">
              <w:rPr>
                <w:sz w:val="28"/>
                <w:szCs w:val="28"/>
              </w:rPr>
              <w:t>стимите разходи“</w:t>
            </w:r>
            <w:r w:rsidRPr="00CF34E7">
              <w:rPr>
                <w:sz w:val="28"/>
                <w:szCs w:val="28"/>
              </w:rPr>
              <w:t>, детайлно описани по-долу. Бюджетът (част от Формуляра за кандидатстване) представлява предварителна оценка на очакваните разходи и максимален</w:t>
            </w:r>
            <w:r w:rsidR="00561362" w:rsidRPr="00CF34E7">
              <w:rPr>
                <w:sz w:val="28"/>
                <w:szCs w:val="28"/>
              </w:rPr>
              <w:t xml:space="preserve"> размер на допустимите разходи.</w:t>
            </w:r>
          </w:p>
          <w:p w:rsidR="000578BC" w:rsidRPr="00CF34E7" w:rsidRDefault="00084D2E">
            <w:pPr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b/>
                <w:sz w:val="28"/>
                <w:szCs w:val="28"/>
              </w:rPr>
              <w:t>ВАЖНО:</w:t>
            </w:r>
            <w:r w:rsidRPr="00CF34E7">
              <w:rPr>
                <w:rFonts w:eastAsia="Cambria"/>
                <w:sz w:val="28"/>
                <w:szCs w:val="28"/>
              </w:rPr>
              <w:t xml:space="preserve"> Във връзка със спазването на принципа за недопускане под никаква форма на реализиране на печалба от безвъзмездните финансови средства, печалбата подлежи на възстановяване</w:t>
            </w:r>
            <w:r w:rsidRPr="00CF34E7">
              <w:rPr>
                <w:rFonts w:eastAsia="Cambria"/>
                <w:sz w:val="28"/>
                <w:szCs w:val="28"/>
                <w:vertAlign w:val="superscript"/>
              </w:rPr>
              <w:footnoteReference w:id="1"/>
            </w:r>
            <w:r w:rsidRPr="00CF34E7">
              <w:rPr>
                <w:rFonts w:eastAsia="Cambria"/>
                <w:sz w:val="28"/>
                <w:szCs w:val="28"/>
              </w:rPr>
              <w:t xml:space="preserve"> </w:t>
            </w:r>
          </w:p>
          <w:p w:rsidR="002E522C" w:rsidRPr="00EE5BAE" w:rsidRDefault="00EE5BAE">
            <w:pPr>
              <w:rPr>
                <w:rFonts w:eastAsia="Cambria"/>
                <w:sz w:val="28"/>
                <w:szCs w:val="28"/>
              </w:rPr>
            </w:pPr>
            <w:r w:rsidRPr="00DD2A1E">
              <w:rPr>
                <w:rFonts w:eastAsia="Calibri"/>
                <w:iCs/>
                <w:sz w:val="28"/>
                <w:szCs w:val="28"/>
              </w:rPr>
              <w:lastRenderedPageBreak/>
              <w:t>Правилото не се отнася за ПИИ</w:t>
            </w:r>
            <w:r w:rsidR="00893F8F" w:rsidRPr="00893F8F">
              <w:rPr>
                <w:rFonts w:eastAsia="Calibri"/>
                <w:iCs/>
                <w:sz w:val="28"/>
                <w:szCs w:val="28"/>
                <w:lang w:val="ru-RU"/>
              </w:rPr>
              <w:t>,</w:t>
            </w:r>
            <w:r w:rsidRPr="00DD2A1E">
              <w:rPr>
                <w:rFonts w:eastAsia="Calibri"/>
                <w:iCs/>
                <w:sz w:val="28"/>
                <w:szCs w:val="28"/>
              </w:rPr>
              <w:t xml:space="preserve"> попадащи в изключенията</w:t>
            </w:r>
            <w:r w:rsidR="00893F8F" w:rsidRPr="00893F8F">
              <w:rPr>
                <w:rFonts w:eastAsia="Calibri"/>
                <w:iCs/>
                <w:sz w:val="28"/>
                <w:szCs w:val="28"/>
                <w:lang w:val="ru-RU"/>
              </w:rPr>
              <w:t>,</w:t>
            </w:r>
            <w:r w:rsidRPr="00DD2A1E">
              <w:rPr>
                <w:rFonts w:eastAsia="Calibri"/>
                <w:iCs/>
                <w:sz w:val="28"/>
                <w:szCs w:val="28"/>
              </w:rPr>
              <w:t xml:space="preserve"> съгласно чл. 192, параграф 3 от Регламент (ЕС) № 2018/1046 г.</w:t>
            </w:r>
          </w:p>
        </w:tc>
      </w:tr>
      <w:tr w:rsidR="008F6B0C" w:rsidRPr="00CF34E7" w:rsidTr="00BB36C1">
        <w:tc>
          <w:tcPr>
            <w:tcW w:w="3823" w:type="dxa"/>
            <w:vAlign w:val="center"/>
          </w:tcPr>
          <w:p w:rsidR="000578BC" w:rsidRPr="00AF647B" w:rsidRDefault="00084D2E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rFonts w:eastAsia="Cambria"/>
                <w:b/>
                <w:sz w:val="28"/>
                <w:szCs w:val="28"/>
              </w:rPr>
              <w:lastRenderedPageBreak/>
              <w:t xml:space="preserve">Приложим режим държавна помощ </w:t>
            </w:r>
          </w:p>
        </w:tc>
        <w:tc>
          <w:tcPr>
            <w:tcW w:w="6383" w:type="dxa"/>
          </w:tcPr>
          <w:p w:rsidR="000578BC" w:rsidRPr="00CF34E7" w:rsidRDefault="00084D2E" w:rsidP="002231B7">
            <w:pPr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Предоставянето на публичен ресурс, в това число на безвъзмездно финансиране по настоящата процедура</w:t>
            </w:r>
            <w:r w:rsidR="00003C50" w:rsidRPr="00CF34E7">
              <w:rPr>
                <w:rFonts w:eastAsia="Cambria"/>
                <w:sz w:val="28"/>
                <w:szCs w:val="28"/>
              </w:rPr>
              <w:t>,</w:t>
            </w:r>
            <w:r w:rsidRPr="00CF34E7">
              <w:rPr>
                <w:rFonts w:eastAsia="Cambria"/>
                <w:sz w:val="28"/>
                <w:szCs w:val="28"/>
              </w:rPr>
              <w:t xml:space="preserve"> трябва да </w:t>
            </w:r>
            <w:r w:rsidR="00003C50" w:rsidRPr="00CF34E7">
              <w:rPr>
                <w:rFonts w:eastAsia="Cambria"/>
                <w:sz w:val="28"/>
                <w:szCs w:val="28"/>
              </w:rPr>
              <w:t xml:space="preserve">бъде </w:t>
            </w:r>
            <w:r w:rsidRPr="00CF34E7">
              <w:rPr>
                <w:rFonts w:eastAsia="Cambria"/>
                <w:sz w:val="28"/>
                <w:szCs w:val="28"/>
              </w:rPr>
              <w:t>съобразено с правилата за държавни помощи, като се отчита принципната недопустимост на държавните помощи и възможните хипотези на съвместимост, които Договорът за функциониране на Европейския съюз, Регламентите и националното законодателство предвиждат.</w:t>
            </w:r>
          </w:p>
          <w:p w:rsidR="000578BC" w:rsidRPr="00CF34E7" w:rsidRDefault="00085CE0" w:rsidP="00DD2A1E">
            <w:pPr>
              <w:rPr>
                <w:rFonts w:eastAsia="Cambria"/>
                <w:sz w:val="28"/>
                <w:szCs w:val="28"/>
              </w:rPr>
            </w:pPr>
            <w:r w:rsidRPr="00DD2A1E">
              <w:rPr>
                <w:rFonts w:eastAsia="Cambria"/>
                <w:sz w:val="28"/>
                <w:szCs w:val="28"/>
              </w:rPr>
              <w:t>Настоящата процедура e в режим на „минимална помощ</w:t>
            </w:r>
            <w:r w:rsidR="00893F8F" w:rsidRPr="00893F8F">
              <w:rPr>
                <w:rFonts w:eastAsia="Cambria"/>
                <w:sz w:val="28"/>
                <w:szCs w:val="28"/>
                <w:lang w:val="ru-RU"/>
              </w:rPr>
              <w:t>,</w:t>
            </w:r>
            <w:r w:rsidR="00084D2E" w:rsidRPr="00DD2A1E">
              <w:rPr>
                <w:rFonts w:eastAsia="Cambria"/>
                <w:sz w:val="28"/>
                <w:szCs w:val="28"/>
              </w:rPr>
              <w:t xml:space="preserve"> </w:t>
            </w:r>
            <w:r w:rsidR="00FD7BE8" w:rsidRPr="00DD2A1E">
              <w:rPr>
                <w:sz w:val="28"/>
                <w:szCs w:val="28"/>
                <w:lang/>
              </w:rPr>
              <w:t xml:space="preserve">съгласно </w:t>
            </w:r>
            <w:r w:rsidR="009D78F8" w:rsidRPr="00DD2A1E">
              <w:rPr>
                <w:sz w:val="28"/>
                <w:szCs w:val="28"/>
                <w:lang/>
              </w:rPr>
              <w:t>Регламент (ЕС) 2023/2831 на Комисията от 13 декември 2023 година относно прилагането на членове 107 и 108 от Договора за функционирането на Европейския съюз към помощта de minimis.</w:t>
            </w:r>
          </w:p>
        </w:tc>
      </w:tr>
      <w:tr w:rsidR="008F6B0C" w:rsidRPr="00CF34E7" w:rsidTr="00BB36C1">
        <w:tc>
          <w:tcPr>
            <w:tcW w:w="3823" w:type="dxa"/>
            <w:vAlign w:val="center"/>
          </w:tcPr>
          <w:p w:rsidR="000578BC" w:rsidRPr="00AF647B" w:rsidRDefault="00084D2E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rFonts w:eastAsia="Cambria"/>
                <w:b/>
                <w:sz w:val="28"/>
                <w:szCs w:val="28"/>
              </w:rPr>
              <w:t>Интензитет на безвъзмездното финансиране</w:t>
            </w:r>
          </w:p>
        </w:tc>
        <w:tc>
          <w:tcPr>
            <w:tcW w:w="6383" w:type="dxa"/>
            <w:shd w:val="clear" w:color="auto" w:fill="auto"/>
          </w:tcPr>
          <w:p w:rsidR="00E45F83" w:rsidRPr="00CF34E7" w:rsidRDefault="00E45F83">
            <w:pPr>
              <w:rPr>
                <w:rFonts w:eastAsia="Cambria"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>По процедурата се предоставя безвъзмездно финансиране в размер до 90% от ст</w:t>
            </w:r>
            <w:r w:rsidR="00AD231C" w:rsidRPr="00CF34E7">
              <w:rPr>
                <w:bCs/>
                <w:sz w:val="28"/>
                <w:szCs w:val="28"/>
              </w:rPr>
              <w:t>ойността на допустимите разходи</w:t>
            </w:r>
            <w:r w:rsidRPr="00CF34E7">
              <w:rPr>
                <w:bCs/>
                <w:sz w:val="28"/>
                <w:szCs w:val="28"/>
              </w:rPr>
              <w:t xml:space="preserve"> при задължително съфинансиране от страна на крайните получатели в размер на най-малко 10% от ст</w:t>
            </w:r>
            <w:r w:rsidR="00AD231C" w:rsidRPr="00CF34E7">
              <w:rPr>
                <w:bCs/>
                <w:sz w:val="28"/>
                <w:szCs w:val="28"/>
              </w:rPr>
              <w:t>ойността на допустимите разходи</w:t>
            </w:r>
          </w:p>
        </w:tc>
      </w:tr>
      <w:tr w:rsidR="008F6B0C" w:rsidRPr="00CF34E7" w:rsidTr="00BB36C1">
        <w:tc>
          <w:tcPr>
            <w:tcW w:w="3823" w:type="dxa"/>
            <w:vAlign w:val="center"/>
          </w:tcPr>
          <w:p w:rsidR="000578BC" w:rsidRPr="00AF647B" w:rsidRDefault="00084D2E" w:rsidP="00737227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rFonts w:eastAsia="Cambria"/>
                <w:b/>
                <w:sz w:val="28"/>
                <w:szCs w:val="28"/>
              </w:rPr>
              <w:t xml:space="preserve">Минимален размер на безвъзмездното финансиране </w:t>
            </w:r>
            <w:r w:rsidR="0065397A" w:rsidRPr="00AF647B">
              <w:rPr>
                <w:rFonts w:eastAsia="Cambria"/>
                <w:b/>
                <w:sz w:val="28"/>
                <w:szCs w:val="28"/>
              </w:rPr>
              <w:t>за един кандидат по всяка  от сесиите</w:t>
            </w:r>
          </w:p>
        </w:tc>
        <w:tc>
          <w:tcPr>
            <w:tcW w:w="6383" w:type="dxa"/>
          </w:tcPr>
          <w:p w:rsidR="000578BC" w:rsidRPr="00CF34E7" w:rsidRDefault="00084D2E">
            <w:pPr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 xml:space="preserve">70 000 лв. </w:t>
            </w:r>
          </w:p>
        </w:tc>
      </w:tr>
      <w:tr w:rsidR="008F6B0C" w:rsidRPr="00CF34E7" w:rsidTr="00BB36C1">
        <w:trPr>
          <w:trHeight w:val="1624"/>
        </w:trPr>
        <w:tc>
          <w:tcPr>
            <w:tcW w:w="3823" w:type="dxa"/>
            <w:vAlign w:val="center"/>
          </w:tcPr>
          <w:p w:rsidR="000578BC" w:rsidRPr="00AF647B" w:rsidRDefault="00084D2E" w:rsidP="00737227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rFonts w:eastAsia="Cambria"/>
                <w:b/>
                <w:sz w:val="28"/>
                <w:szCs w:val="28"/>
              </w:rPr>
              <w:lastRenderedPageBreak/>
              <w:t xml:space="preserve">Максимален размер на безвъзмездното финансиране </w:t>
            </w:r>
            <w:r w:rsidR="0065397A" w:rsidRPr="00AF647B">
              <w:rPr>
                <w:rFonts w:eastAsia="Cambria"/>
                <w:b/>
                <w:sz w:val="28"/>
                <w:szCs w:val="28"/>
              </w:rPr>
              <w:t>за един кандидат по всяка  от сесиите</w:t>
            </w:r>
          </w:p>
        </w:tc>
        <w:tc>
          <w:tcPr>
            <w:tcW w:w="6383" w:type="dxa"/>
          </w:tcPr>
          <w:p w:rsidR="000578BC" w:rsidRPr="00CF34E7" w:rsidRDefault="00084D2E">
            <w:pPr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142 000 лв.</w:t>
            </w:r>
          </w:p>
        </w:tc>
      </w:tr>
      <w:tr w:rsidR="008F6B0C" w:rsidRPr="00CF34E7" w:rsidTr="00BB36C1">
        <w:tc>
          <w:tcPr>
            <w:tcW w:w="3823" w:type="dxa"/>
            <w:vAlign w:val="center"/>
          </w:tcPr>
          <w:p w:rsidR="000578BC" w:rsidRPr="00AF647B" w:rsidRDefault="00084D2E" w:rsidP="00737227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rFonts w:eastAsia="Cambria"/>
                <w:b/>
                <w:sz w:val="28"/>
                <w:szCs w:val="28"/>
              </w:rPr>
              <w:t>Очакван брой проектни предложения, които ще бъдат одобрени за финансиране</w:t>
            </w:r>
          </w:p>
        </w:tc>
        <w:tc>
          <w:tcPr>
            <w:tcW w:w="6383" w:type="dxa"/>
          </w:tcPr>
          <w:p w:rsidR="000578BC" w:rsidRPr="00CF34E7" w:rsidRDefault="00E919A8" w:rsidP="007F0C09">
            <w:pPr>
              <w:rPr>
                <w:rFonts w:eastAsia="Cambria"/>
                <w:sz w:val="28"/>
                <w:szCs w:val="28"/>
              </w:rPr>
            </w:pPr>
            <w:r w:rsidRPr="002C038C">
              <w:rPr>
                <w:rFonts w:eastAsia="Cambria"/>
                <w:sz w:val="28"/>
                <w:szCs w:val="28"/>
              </w:rPr>
              <w:t>188</w:t>
            </w:r>
            <w:r w:rsidR="00084D2E" w:rsidRPr="002C038C">
              <w:rPr>
                <w:rFonts w:eastAsia="Cambria"/>
                <w:sz w:val="28"/>
                <w:szCs w:val="28"/>
              </w:rPr>
              <w:t xml:space="preserve"> </w:t>
            </w:r>
            <w:r w:rsidR="007F0C09" w:rsidRPr="002C038C">
              <w:rPr>
                <w:rFonts w:eastAsia="Cambria"/>
                <w:sz w:val="28"/>
                <w:szCs w:val="28"/>
              </w:rPr>
              <w:t>ПИИ</w:t>
            </w:r>
            <w:r w:rsidR="00084D2E" w:rsidRPr="002C038C">
              <w:rPr>
                <w:rFonts w:eastAsia="Cambria"/>
                <w:sz w:val="28"/>
                <w:szCs w:val="28"/>
              </w:rPr>
              <w:t xml:space="preserve"> по </w:t>
            </w:r>
            <w:r w:rsidR="00737227" w:rsidRPr="002C038C">
              <w:rPr>
                <w:rFonts w:eastAsia="Cambria"/>
                <w:sz w:val="28"/>
                <w:szCs w:val="28"/>
              </w:rPr>
              <w:t>„Схема за безвъзмездна помощ „</w:t>
            </w:r>
            <w:r w:rsidR="00F318D8" w:rsidRPr="002C038C">
              <w:rPr>
                <w:rFonts w:eastAsia="Cambria"/>
                <w:sz w:val="28"/>
                <w:szCs w:val="28"/>
              </w:rPr>
              <w:t>Създаване</w:t>
            </w:r>
            <w:r w:rsidR="00084D2E" w:rsidRPr="002C038C">
              <w:rPr>
                <w:rFonts w:eastAsia="Cambria"/>
                <w:sz w:val="28"/>
                <w:szCs w:val="28"/>
              </w:rPr>
              <w:t xml:space="preserve"> на български продукции</w:t>
            </w:r>
            <w:r w:rsidR="00737227" w:rsidRPr="002C038C">
              <w:rPr>
                <w:rFonts w:eastAsia="Cambria"/>
                <w:sz w:val="28"/>
                <w:szCs w:val="28"/>
              </w:rPr>
              <w:t xml:space="preserve"> и копродукции в сектора на КТИ</w:t>
            </w:r>
            <w:r w:rsidR="00737227" w:rsidRPr="00CF34E7">
              <w:rPr>
                <w:rFonts w:eastAsia="Cambria"/>
                <w:sz w:val="28"/>
                <w:szCs w:val="28"/>
              </w:rPr>
              <w:t>“</w:t>
            </w:r>
          </w:p>
        </w:tc>
      </w:tr>
      <w:tr w:rsidR="008F6B0C" w:rsidRPr="00CF34E7" w:rsidTr="00BB36C1">
        <w:tc>
          <w:tcPr>
            <w:tcW w:w="3823" w:type="dxa"/>
            <w:vAlign w:val="center"/>
          </w:tcPr>
          <w:p w:rsidR="000578BC" w:rsidRPr="00AF647B" w:rsidRDefault="00084D2E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rFonts w:eastAsia="Cambria"/>
                <w:b/>
                <w:sz w:val="28"/>
                <w:szCs w:val="28"/>
              </w:rPr>
              <w:t>Начален срок за кандидатстване</w:t>
            </w:r>
          </w:p>
        </w:tc>
        <w:tc>
          <w:tcPr>
            <w:tcW w:w="6383" w:type="dxa"/>
          </w:tcPr>
          <w:p w:rsidR="00E919A8" w:rsidRPr="00F90796" w:rsidRDefault="00674101" w:rsidP="00E919A8">
            <w:pPr>
              <w:rPr>
                <w:bCs/>
                <w:sz w:val="28"/>
                <w:szCs w:val="28"/>
              </w:rPr>
            </w:pPr>
            <w:r w:rsidRPr="00F90796">
              <w:rPr>
                <w:bCs/>
                <w:sz w:val="28"/>
                <w:szCs w:val="28"/>
              </w:rPr>
              <w:t>Дата и час за първа сесия: 22.02.2024 г.</w:t>
            </w:r>
            <w:r w:rsidR="00415D66" w:rsidRPr="00F90796">
              <w:rPr>
                <w:bCs/>
                <w:sz w:val="28"/>
                <w:szCs w:val="28"/>
              </w:rPr>
              <w:t xml:space="preserve">, </w:t>
            </w:r>
            <w:r w:rsidR="00453DB4">
              <w:rPr>
                <w:bCs/>
                <w:sz w:val="28"/>
                <w:szCs w:val="28"/>
              </w:rPr>
              <w:t>23:</w:t>
            </w:r>
            <w:r w:rsidR="00453DB4" w:rsidRPr="00CD1C33">
              <w:rPr>
                <w:bCs/>
                <w:sz w:val="28"/>
                <w:szCs w:val="28"/>
                <w:lang w:val="ru-RU"/>
              </w:rPr>
              <w:t>45</w:t>
            </w:r>
            <w:r w:rsidRPr="00F90796">
              <w:rPr>
                <w:bCs/>
                <w:sz w:val="28"/>
                <w:szCs w:val="28"/>
              </w:rPr>
              <w:t xml:space="preserve"> часа</w:t>
            </w:r>
          </w:p>
          <w:p w:rsidR="00415D66" w:rsidRPr="00F90796" w:rsidRDefault="00415D66" w:rsidP="00415D66">
            <w:pPr>
              <w:rPr>
                <w:bCs/>
                <w:sz w:val="28"/>
                <w:szCs w:val="28"/>
              </w:rPr>
            </w:pPr>
            <w:r w:rsidRPr="00F90796">
              <w:rPr>
                <w:bCs/>
                <w:sz w:val="28"/>
                <w:szCs w:val="28"/>
              </w:rPr>
              <w:t>Дата и час за втора сесия</w:t>
            </w:r>
            <w:r w:rsidR="00674101" w:rsidRPr="00F90796">
              <w:rPr>
                <w:bCs/>
                <w:sz w:val="28"/>
                <w:szCs w:val="28"/>
              </w:rPr>
              <w:t>: 26.04.2024 г.,</w:t>
            </w:r>
            <w:r w:rsidRPr="00F90796">
              <w:rPr>
                <w:bCs/>
                <w:sz w:val="28"/>
                <w:szCs w:val="28"/>
              </w:rPr>
              <w:t xml:space="preserve"> </w:t>
            </w:r>
            <w:r w:rsidR="00453DB4" w:rsidRPr="00CD1C33">
              <w:rPr>
                <w:bCs/>
                <w:sz w:val="28"/>
                <w:szCs w:val="28"/>
                <w:lang w:val="ru-RU"/>
              </w:rPr>
              <w:t>09</w:t>
            </w:r>
            <w:r w:rsidR="00674101" w:rsidRPr="00F90796">
              <w:rPr>
                <w:bCs/>
                <w:sz w:val="28"/>
                <w:szCs w:val="28"/>
              </w:rPr>
              <w:t>:30 часа</w:t>
            </w:r>
          </w:p>
          <w:p w:rsidR="00415D66" w:rsidRPr="00F90796" w:rsidRDefault="00415D66" w:rsidP="00415D66">
            <w:pPr>
              <w:rPr>
                <w:bCs/>
                <w:sz w:val="28"/>
                <w:szCs w:val="28"/>
              </w:rPr>
            </w:pPr>
            <w:r w:rsidRPr="00F90796">
              <w:rPr>
                <w:bCs/>
                <w:sz w:val="28"/>
                <w:szCs w:val="28"/>
              </w:rPr>
              <w:t>Дата и час за трета сесия</w:t>
            </w:r>
            <w:r w:rsidR="00674101" w:rsidRPr="00F90796">
              <w:rPr>
                <w:bCs/>
                <w:sz w:val="28"/>
                <w:szCs w:val="28"/>
              </w:rPr>
              <w:t xml:space="preserve">: 04.07.2024 г., </w:t>
            </w:r>
            <w:r w:rsidR="00453DB4" w:rsidRPr="00CD1C33">
              <w:rPr>
                <w:bCs/>
                <w:sz w:val="28"/>
                <w:szCs w:val="28"/>
                <w:lang w:val="ru-RU"/>
              </w:rPr>
              <w:t>09</w:t>
            </w:r>
            <w:r w:rsidR="00674101" w:rsidRPr="00F90796">
              <w:rPr>
                <w:bCs/>
                <w:sz w:val="28"/>
                <w:szCs w:val="28"/>
              </w:rPr>
              <w:t>:30 часа</w:t>
            </w:r>
          </w:p>
          <w:p w:rsidR="00E919A8" w:rsidRPr="00F90796" w:rsidRDefault="00415D66" w:rsidP="00453DB4">
            <w:pPr>
              <w:rPr>
                <w:bCs/>
                <w:sz w:val="28"/>
                <w:szCs w:val="28"/>
              </w:rPr>
            </w:pPr>
            <w:r w:rsidRPr="00F90796">
              <w:rPr>
                <w:bCs/>
                <w:sz w:val="28"/>
                <w:szCs w:val="28"/>
              </w:rPr>
              <w:t>Дата и час за четвърта сесия</w:t>
            </w:r>
            <w:r w:rsidR="00674101" w:rsidRPr="00F90796">
              <w:rPr>
                <w:bCs/>
                <w:sz w:val="28"/>
                <w:szCs w:val="28"/>
              </w:rPr>
              <w:t xml:space="preserve">: 04.09.2024 г., </w:t>
            </w:r>
            <w:r w:rsidR="00453DB4" w:rsidRPr="00CD1C33">
              <w:rPr>
                <w:bCs/>
                <w:sz w:val="28"/>
                <w:szCs w:val="28"/>
                <w:lang w:val="ru-RU"/>
              </w:rPr>
              <w:t>09</w:t>
            </w:r>
            <w:bookmarkStart w:id="5" w:name="_GoBack"/>
            <w:bookmarkEnd w:id="5"/>
            <w:r w:rsidR="00674101" w:rsidRPr="00F90796">
              <w:rPr>
                <w:bCs/>
                <w:sz w:val="28"/>
                <w:szCs w:val="28"/>
              </w:rPr>
              <w:t>:30 часа</w:t>
            </w:r>
          </w:p>
        </w:tc>
      </w:tr>
      <w:tr w:rsidR="008F6B0C" w:rsidRPr="00CF34E7" w:rsidTr="00BB36C1">
        <w:tc>
          <w:tcPr>
            <w:tcW w:w="3823" w:type="dxa"/>
            <w:vAlign w:val="center"/>
          </w:tcPr>
          <w:p w:rsidR="000578BC" w:rsidRPr="00AF647B" w:rsidRDefault="00084D2E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rFonts w:eastAsia="Cambria"/>
                <w:b/>
                <w:sz w:val="28"/>
                <w:szCs w:val="28"/>
              </w:rPr>
              <w:t>Краен срок за кандидатстване</w:t>
            </w:r>
          </w:p>
        </w:tc>
        <w:tc>
          <w:tcPr>
            <w:tcW w:w="6383" w:type="dxa"/>
          </w:tcPr>
          <w:p w:rsidR="00E919A8" w:rsidRPr="00F90796" w:rsidRDefault="00E919A8" w:rsidP="00E919A8">
            <w:pPr>
              <w:rPr>
                <w:bCs/>
                <w:sz w:val="28"/>
                <w:szCs w:val="28"/>
              </w:rPr>
            </w:pPr>
            <w:r w:rsidRPr="00F90796">
              <w:rPr>
                <w:bCs/>
                <w:sz w:val="28"/>
                <w:szCs w:val="28"/>
              </w:rPr>
              <w:t>Срок за кандидатстване на първа сесия по настоящата</w:t>
            </w:r>
            <w:r w:rsidR="00F90796">
              <w:rPr>
                <w:bCs/>
                <w:sz w:val="28"/>
                <w:szCs w:val="28"/>
              </w:rPr>
              <w:t xml:space="preserve"> процедура - не по-късно от 17:0</w:t>
            </w:r>
            <w:r w:rsidRPr="00F90796">
              <w:rPr>
                <w:bCs/>
                <w:sz w:val="28"/>
                <w:szCs w:val="28"/>
              </w:rPr>
              <w:t xml:space="preserve">0 часа на </w:t>
            </w:r>
            <w:r w:rsidR="00674101" w:rsidRPr="00F90796">
              <w:rPr>
                <w:bCs/>
                <w:sz w:val="28"/>
                <w:szCs w:val="28"/>
              </w:rPr>
              <w:t>24.04.2024</w:t>
            </w:r>
            <w:r w:rsidRPr="00F90796">
              <w:rPr>
                <w:bCs/>
                <w:sz w:val="28"/>
                <w:szCs w:val="28"/>
              </w:rPr>
              <w:t xml:space="preserve"> г. </w:t>
            </w:r>
          </w:p>
          <w:p w:rsidR="00415D66" w:rsidRPr="00F90796" w:rsidRDefault="00415D66" w:rsidP="00415D66">
            <w:pPr>
              <w:rPr>
                <w:bCs/>
                <w:sz w:val="28"/>
                <w:szCs w:val="28"/>
              </w:rPr>
            </w:pPr>
            <w:r w:rsidRPr="00F90796">
              <w:rPr>
                <w:bCs/>
                <w:sz w:val="28"/>
                <w:szCs w:val="28"/>
              </w:rPr>
              <w:t>Срок за кандидатстване на втора сесия по настоящата</w:t>
            </w:r>
            <w:r w:rsidR="00F90796">
              <w:rPr>
                <w:bCs/>
                <w:sz w:val="28"/>
                <w:szCs w:val="28"/>
              </w:rPr>
              <w:t xml:space="preserve"> процедура - не по-късно от 17:0</w:t>
            </w:r>
            <w:r w:rsidRPr="00F90796">
              <w:rPr>
                <w:bCs/>
                <w:sz w:val="28"/>
                <w:szCs w:val="28"/>
              </w:rPr>
              <w:t xml:space="preserve">0 часа на </w:t>
            </w:r>
            <w:r w:rsidR="00674101" w:rsidRPr="00F90796">
              <w:rPr>
                <w:bCs/>
                <w:sz w:val="28"/>
                <w:szCs w:val="28"/>
              </w:rPr>
              <w:t>02.07.2024</w:t>
            </w:r>
            <w:r w:rsidRPr="00F90796">
              <w:rPr>
                <w:bCs/>
                <w:sz w:val="28"/>
                <w:szCs w:val="28"/>
              </w:rPr>
              <w:t xml:space="preserve"> г. </w:t>
            </w:r>
          </w:p>
          <w:p w:rsidR="00415D66" w:rsidRPr="00F90796" w:rsidRDefault="00415D66" w:rsidP="00415D66">
            <w:pPr>
              <w:rPr>
                <w:bCs/>
                <w:sz w:val="28"/>
                <w:szCs w:val="28"/>
              </w:rPr>
            </w:pPr>
            <w:r w:rsidRPr="00F90796">
              <w:rPr>
                <w:bCs/>
                <w:sz w:val="28"/>
                <w:szCs w:val="28"/>
              </w:rPr>
              <w:t xml:space="preserve">Срок за кандидатстване на трета сесия по настоящата процедура </w:t>
            </w:r>
            <w:r w:rsidR="00F90796">
              <w:rPr>
                <w:bCs/>
                <w:sz w:val="28"/>
                <w:szCs w:val="28"/>
              </w:rPr>
              <w:t>- не по-късно от 17:0</w:t>
            </w:r>
            <w:r w:rsidR="00674101" w:rsidRPr="00F90796">
              <w:rPr>
                <w:bCs/>
                <w:sz w:val="28"/>
                <w:szCs w:val="28"/>
              </w:rPr>
              <w:t>0 часа на 02.09.2024</w:t>
            </w:r>
            <w:r w:rsidRPr="00F90796">
              <w:rPr>
                <w:bCs/>
                <w:sz w:val="28"/>
                <w:szCs w:val="28"/>
              </w:rPr>
              <w:t xml:space="preserve"> г. </w:t>
            </w:r>
          </w:p>
          <w:p w:rsidR="00E919A8" w:rsidRPr="00F90796" w:rsidRDefault="00415D66" w:rsidP="00674101">
            <w:pPr>
              <w:rPr>
                <w:bCs/>
                <w:sz w:val="28"/>
                <w:szCs w:val="28"/>
              </w:rPr>
            </w:pPr>
            <w:r w:rsidRPr="00F90796">
              <w:rPr>
                <w:bCs/>
                <w:sz w:val="28"/>
                <w:szCs w:val="28"/>
              </w:rPr>
              <w:t xml:space="preserve">Срок за кандидатстване на четвърта сесия по настоящата процедура </w:t>
            </w:r>
            <w:r w:rsidR="00F90796">
              <w:rPr>
                <w:bCs/>
                <w:sz w:val="28"/>
                <w:szCs w:val="28"/>
              </w:rPr>
              <w:t>- не по-късно от 17:0</w:t>
            </w:r>
            <w:r w:rsidR="00674101" w:rsidRPr="00F90796">
              <w:rPr>
                <w:bCs/>
                <w:sz w:val="28"/>
                <w:szCs w:val="28"/>
              </w:rPr>
              <w:t>0 часа на 06.11.2024</w:t>
            </w:r>
            <w:r w:rsidRPr="00F90796">
              <w:rPr>
                <w:bCs/>
                <w:sz w:val="28"/>
                <w:szCs w:val="28"/>
              </w:rPr>
              <w:t xml:space="preserve"> г. </w:t>
            </w:r>
          </w:p>
        </w:tc>
      </w:tr>
      <w:tr w:rsidR="008F6B0C" w:rsidRPr="00CF34E7" w:rsidTr="00BB36C1">
        <w:tc>
          <w:tcPr>
            <w:tcW w:w="3823" w:type="dxa"/>
            <w:vAlign w:val="center"/>
          </w:tcPr>
          <w:p w:rsidR="000578BC" w:rsidRPr="00AF647B" w:rsidRDefault="00084D2E">
            <w:pPr>
              <w:rPr>
                <w:rFonts w:eastAsia="Cambria"/>
                <w:b/>
                <w:sz w:val="28"/>
                <w:szCs w:val="28"/>
              </w:rPr>
            </w:pPr>
            <w:r w:rsidRPr="00AF647B">
              <w:rPr>
                <w:rFonts w:eastAsia="Cambria"/>
                <w:b/>
                <w:sz w:val="28"/>
                <w:szCs w:val="28"/>
              </w:rPr>
              <w:t>Срок за изпълнение на проектите</w:t>
            </w:r>
          </w:p>
        </w:tc>
        <w:tc>
          <w:tcPr>
            <w:tcW w:w="6383" w:type="dxa"/>
            <w:shd w:val="clear" w:color="auto" w:fill="auto"/>
          </w:tcPr>
          <w:p w:rsidR="000578BC" w:rsidRPr="00CF34E7" w:rsidRDefault="008457DF">
            <w:pPr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 xml:space="preserve">12 месеца </w:t>
            </w:r>
            <w:r w:rsidR="00B011A3" w:rsidRPr="00CF34E7">
              <w:rPr>
                <w:rFonts w:eastAsia="Cambria"/>
                <w:sz w:val="28"/>
                <w:szCs w:val="28"/>
              </w:rPr>
              <w:t>от двустранното подписване на договора между одобрения кандидат и Националния фонд „Култура“ за финансиране от Механизма за възстановяване и устойчивост за изпълнение на инвестиция</w:t>
            </w:r>
          </w:p>
        </w:tc>
      </w:tr>
    </w:tbl>
    <w:p w:rsidR="00BB36C1" w:rsidRPr="00CF34E7" w:rsidRDefault="00BB36C1" w:rsidP="00BB36C1">
      <w:pPr>
        <w:rPr>
          <w:rFonts w:ascii="Times New Roman" w:hAnsi="Times New Roman" w:cs="Times New Roman"/>
          <w:lang/>
        </w:rPr>
        <w:sectPr w:rsidR="00BB36C1" w:rsidRPr="00CF34E7" w:rsidSect="00CB0872"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pgSz w:w="11906" w:h="16838"/>
          <w:pgMar w:top="527" w:right="992" w:bottom="426" w:left="1418" w:header="284" w:footer="284" w:gutter="0"/>
          <w:pgNumType w:start="0"/>
          <w:cols w:space="708"/>
          <w:titlePg/>
          <w:docGrid w:linePitch="299"/>
        </w:sectPr>
      </w:pPr>
      <w:bookmarkStart w:id="6" w:name="_heading=h.3dy6vkm" w:colFirst="0" w:colLast="0"/>
      <w:bookmarkEnd w:id="6"/>
    </w:p>
    <w:p w:rsidR="000578BC" w:rsidRPr="00CF34E7" w:rsidRDefault="00084D2E" w:rsidP="00CD1C33">
      <w:pPr>
        <w:pStyle w:val="Heading2"/>
        <w:numPr>
          <w:ilvl w:val="0"/>
          <w:numId w:val="0"/>
        </w:numPr>
        <w:ind w:left="1080" w:hanging="360"/>
        <w:rPr>
          <w:rFonts w:ascii="Times New Roman" w:eastAsia="Cambria" w:hAnsi="Times New Roman" w:cs="Times New Roman"/>
          <w:color w:val="0070C0"/>
          <w:sz w:val="28"/>
          <w:szCs w:val="28"/>
          <w:lang w:val="bg-BG"/>
        </w:rPr>
      </w:pPr>
      <w:bookmarkStart w:id="7" w:name="_Toc151332335"/>
      <w:r w:rsidRPr="00CF34E7">
        <w:rPr>
          <w:rFonts w:ascii="Times New Roman" w:eastAsia="Cambria" w:hAnsi="Times New Roman" w:cs="Times New Roman"/>
          <w:color w:val="0070C0"/>
          <w:sz w:val="28"/>
          <w:szCs w:val="28"/>
          <w:lang w:val="bg-BG"/>
        </w:rPr>
        <w:lastRenderedPageBreak/>
        <w:t>Териториален обхват</w:t>
      </w:r>
      <w:bookmarkEnd w:id="7"/>
    </w:p>
    <w:tbl>
      <w:tblPr>
        <w:tblStyle w:val="affe"/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95"/>
      </w:tblGrid>
      <w:tr w:rsidR="008F6B0C" w:rsidRPr="00CF34E7">
        <w:tc>
          <w:tcPr>
            <w:tcW w:w="9495" w:type="dxa"/>
          </w:tcPr>
          <w:p w:rsidR="000578BC" w:rsidRPr="00CF34E7" w:rsidRDefault="00084D2E" w:rsidP="00A50EA1">
            <w:pPr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 xml:space="preserve">Предложенията за изпълнение на инвестиция по процедурата </w:t>
            </w:r>
            <w:r w:rsidR="00A50EA1" w:rsidRPr="00CF34E7">
              <w:rPr>
                <w:rFonts w:eastAsia="Cambria"/>
                <w:sz w:val="28"/>
                <w:szCs w:val="28"/>
              </w:rPr>
              <w:t>се изпълняват само</w:t>
            </w:r>
            <w:r w:rsidRPr="00CF34E7">
              <w:rPr>
                <w:rFonts w:eastAsia="Cambria"/>
                <w:sz w:val="28"/>
                <w:szCs w:val="28"/>
              </w:rPr>
              <w:t xml:space="preserve"> на те</w:t>
            </w:r>
            <w:r w:rsidR="007C257E" w:rsidRPr="00CF34E7">
              <w:rPr>
                <w:rFonts w:eastAsia="Cambria"/>
                <w:sz w:val="28"/>
                <w:szCs w:val="28"/>
              </w:rPr>
              <w:t>риторията на Република България</w:t>
            </w:r>
          </w:p>
        </w:tc>
      </w:tr>
    </w:tbl>
    <w:p w:rsidR="000578BC" w:rsidRPr="00CF34E7" w:rsidRDefault="00084D2E" w:rsidP="00CD1C33">
      <w:pPr>
        <w:pStyle w:val="Heading1"/>
        <w:spacing w:before="120" w:after="120"/>
        <w:ind w:left="709"/>
        <w:rPr>
          <w:rFonts w:ascii="Times New Roman" w:eastAsia="Cambria" w:hAnsi="Times New Roman" w:cs="Times New Roman"/>
          <w:color w:val="0070C0"/>
          <w:lang w:val="bg-BG"/>
        </w:rPr>
      </w:pPr>
      <w:bookmarkStart w:id="8" w:name="_Toc151332337"/>
      <w:r w:rsidRPr="00CF34E7">
        <w:rPr>
          <w:rFonts w:ascii="Times New Roman" w:eastAsia="Cambria" w:hAnsi="Times New Roman" w:cs="Times New Roman"/>
          <w:color w:val="0070C0"/>
          <w:lang w:val="bg-BG"/>
        </w:rPr>
        <w:t>Общ размер на средствата по процедурата</w:t>
      </w:r>
      <w:bookmarkEnd w:id="8"/>
    </w:p>
    <w:tbl>
      <w:tblPr>
        <w:tblStyle w:val="afff0"/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88"/>
      </w:tblGrid>
      <w:tr w:rsidR="008F6B0C" w:rsidRPr="00CF34E7">
        <w:tc>
          <w:tcPr>
            <w:tcW w:w="9488" w:type="dxa"/>
          </w:tcPr>
          <w:p w:rsidR="000578BC" w:rsidRPr="00CF34E7" w:rsidRDefault="005E6F8F" w:rsidP="009606C6">
            <w:pPr>
              <w:jc w:val="both"/>
              <w:rPr>
                <w:rFonts w:eastAsia="Cambria"/>
                <w:sz w:val="28"/>
                <w:szCs w:val="28"/>
                <w:shd w:val="clear" w:color="auto" w:fill="FFF2CC"/>
              </w:rPr>
            </w:pPr>
            <w:r w:rsidRPr="00CF34E7">
              <w:rPr>
                <w:rFonts w:eastAsia="Cambria"/>
                <w:sz w:val="28"/>
                <w:szCs w:val="28"/>
              </w:rPr>
              <w:t>По Инвестиция C11.I6</w:t>
            </w:r>
            <w:r w:rsidR="00084D2E" w:rsidRPr="00CF34E7">
              <w:rPr>
                <w:rFonts w:eastAsia="Cambria"/>
                <w:sz w:val="28"/>
                <w:szCs w:val="28"/>
              </w:rPr>
              <w:t xml:space="preserve"> </w:t>
            </w:r>
            <w:r w:rsidRPr="00CF34E7">
              <w:rPr>
                <w:rFonts w:eastAsia="Cambria"/>
                <w:sz w:val="28"/>
                <w:szCs w:val="28"/>
              </w:rPr>
              <w:t>„</w:t>
            </w:r>
            <w:r w:rsidR="00084D2E" w:rsidRPr="00CF34E7">
              <w:rPr>
                <w:rFonts w:eastAsia="Cambria"/>
                <w:sz w:val="28"/>
                <w:szCs w:val="28"/>
              </w:rPr>
              <w:t>Развитие на културните и творчески сектори</w:t>
            </w:r>
            <w:r w:rsidRPr="00CF34E7">
              <w:rPr>
                <w:rFonts w:eastAsia="Cambria"/>
                <w:sz w:val="28"/>
                <w:szCs w:val="28"/>
              </w:rPr>
              <w:t>“</w:t>
            </w:r>
            <w:r w:rsidR="00084D2E" w:rsidRPr="00CF34E7">
              <w:rPr>
                <w:rFonts w:eastAsia="Cambria"/>
                <w:sz w:val="28"/>
                <w:szCs w:val="28"/>
              </w:rPr>
              <w:t xml:space="preserve">, Дейност 2.2. </w:t>
            </w:r>
            <w:r w:rsidR="000C479B" w:rsidRPr="00CF34E7">
              <w:rPr>
                <w:rFonts w:eastAsia="Cambria"/>
                <w:sz w:val="28"/>
                <w:szCs w:val="28"/>
              </w:rPr>
              <w:t>Схема за безвъзмездна помощ в четири сесии „</w:t>
            </w:r>
            <w:r w:rsidR="00F318D8" w:rsidRPr="00CF34E7">
              <w:rPr>
                <w:rFonts w:eastAsia="Cambria"/>
                <w:sz w:val="28"/>
                <w:szCs w:val="28"/>
              </w:rPr>
              <w:t>Създаване</w:t>
            </w:r>
            <w:r w:rsidR="000C479B" w:rsidRPr="00CF34E7">
              <w:rPr>
                <w:rFonts w:eastAsia="Cambria"/>
                <w:sz w:val="28"/>
                <w:szCs w:val="28"/>
              </w:rPr>
              <w:t xml:space="preserve"> на български продукции и копродукции в сектора на КТИ“</w:t>
            </w:r>
            <w:r w:rsidR="00084D2E" w:rsidRPr="00CF34E7">
              <w:rPr>
                <w:rFonts w:eastAsia="Cambria"/>
                <w:sz w:val="28"/>
                <w:szCs w:val="28"/>
              </w:rPr>
              <w:t xml:space="preserve"> е предвиден общ бюджет от 22 534 000 лв., който ще бъде разпределен поетапно в четири сесии.</w:t>
            </w:r>
            <w:r w:rsidR="00084D2E" w:rsidRPr="00CF34E7">
              <w:rPr>
                <w:rFonts w:eastAsia="Cambria"/>
                <w:sz w:val="28"/>
                <w:szCs w:val="28"/>
                <w:shd w:val="clear" w:color="auto" w:fill="FFF2CC"/>
              </w:rPr>
              <w:t xml:space="preserve"> </w:t>
            </w:r>
          </w:p>
          <w:p w:rsidR="005A42C0" w:rsidRPr="00CF34E7" w:rsidRDefault="00084D2E" w:rsidP="009606C6">
            <w:pPr>
              <w:jc w:val="both"/>
              <w:rPr>
                <w:rFonts w:eastAsia="Cambria"/>
                <w:sz w:val="28"/>
                <w:szCs w:val="28"/>
                <w:shd w:val="clear" w:color="auto" w:fill="FFF2CC"/>
              </w:rPr>
            </w:pPr>
            <w:r w:rsidRPr="00CF34E7">
              <w:rPr>
                <w:rFonts w:eastAsia="Cambria"/>
                <w:sz w:val="28"/>
                <w:szCs w:val="28"/>
              </w:rPr>
              <w:t>За първа сесия размерът н</w:t>
            </w:r>
            <w:r w:rsidR="0043214B" w:rsidRPr="00CF34E7">
              <w:rPr>
                <w:rFonts w:eastAsia="Cambria"/>
                <w:sz w:val="28"/>
                <w:szCs w:val="28"/>
              </w:rPr>
              <w:t xml:space="preserve">а средствата е </w:t>
            </w:r>
            <w:r w:rsidR="006D793F" w:rsidRPr="002C038C">
              <w:rPr>
                <w:rFonts w:eastAsia="Cambria"/>
                <w:sz w:val="28"/>
                <w:szCs w:val="28"/>
              </w:rPr>
              <w:t>15 000 0</w:t>
            </w:r>
            <w:r w:rsidR="0043214B" w:rsidRPr="002C038C">
              <w:rPr>
                <w:rFonts w:eastAsia="Cambria"/>
                <w:sz w:val="28"/>
                <w:szCs w:val="28"/>
              </w:rPr>
              <w:t>00</w:t>
            </w:r>
            <w:r w:rsidR="0043214B" w:rsidRPr="00CF34E7">
              <w:rPr>
                <w:rFonts w:eastAsia="Cambria"/>
                <w:sz w:val="28"/>
                <w:szCs w:val="28"/>
              </w:rPr>
              <w:t xml:space="preserve"> лв., </w:t>
            </w:r>
            <w:r w:rsidRPr="00CF34E7">
              <w:rPr>
                <w:rFonts w:eastAsia="Cambria"/>
                <w:sz w:val="28"/>
                <w:szCs w:val="28"/>
              </w:rPr>
              <w:t xml:space="preserve">като останалият финансов ресурс </w:t>
            </w:r>
            <w:r w:rsidR="004C7995" w:rsidRPr="00CF34E7">
              <w:rPr>
                <w:rFonts w:eastAsia="Cambria"/>
                <w:sz w:val="28"/>
                <w:szCs w:val="28"/>
              </w:rPr>
              <w:t>се</w:t>
            </w:r>
            <w:r w:rsidR="00D21179" w:rsidRPr="00CF34E7">
              <w:rPr>
                <w:rFonts w:eastAsia="Cambria"/>
                <w:sz w:val="28"/>
                <w:szCs w:val="28"/>
              </w:rPr>
              <w:t xml:space="preserve"> </w:t>
            </w:r>
            <w:r w:rsidR="004C7995" w:rsidRPr="00CF34E7">
              <w:rPr>
                <w:rFonts w:eastAsia="Cambria"/>
                <w:sz w:val="28"/>
                <w:szCs w:val="28"/>
              </w:rPr>
              <w:t xml:space="preserve">разпределя допълнително </w:t>
            </w:r>
            <w:r w:rsidRPr="00CF34E7">
              <w:rPr>
                <w:rFonts w:eastAsia="Cambria"/>
                <w:sz w:val="28"/>
                <w:szCs w:val="28"/>
              </w:rPr>
              <w:t xml:space="preserve">до </w:t>
            </w:r>
            <w:r w:rsidR="00A3712E" w:rsidRPr="00CF34E7">
              <w:rPr>
                <w:rFonts w:eastAsia="Cambria"/>
                <w:sz w:val="28"/>
                <w:szCs w:val="28"/>
              </w:rPr>
              <w:t>края</w:t>
            </w:r>
            <w:r w:rsidRPr="00CF34E7">
              <w:rPr>
                <w:rFonts w:eastAsia="Cambria"/>
                <w:sz w:val="28"/>
                <w:szCs w:val="28"/>
              </w:rPr>
              <w:t xml:space="preserve"> на 202</w:t>
            </w:r>
            <w:r w:rsidR="00A3712E" w:rsidRPr="00CF34E7">
              <w:rPr>
                <w:rFonts w:eastAsia="Cambria"/>
                <w:sz w:val="28"/>
                <w:szCs w:val="28"/>
              </w:rPr>
              <w:t>5</w:t>
            </w:r>
            <w:r w:rsidRPr="00CF34E7">
              <w:rPr>
                <w:rFonts w:eastAsia="Cambria"/>
                <w:sz w:val="28"/>
                <w:szCs w:val="28"/>
              </w:rPr>
              <w:t xml:space="preserve"> г.</w:t>
            </w:r>
            <w:r w:rsidRPr="00CF34E7">
              <w:rPr>
                <w:rFonts w:eastAsia="Cambria"/>
                <w:sz w:val="28"/>
                <w:szCs w:val="28"/>
                <w:shd w:val="clear" w:color="auto" w:fill="FFF2CC"/>
              </w:rPr>
              <w:t xml:space="preserve"> </w:t>
            </w:r>
          </w:p>
          <w:p w:rsidR="005A42C0" w:rsidRPr="00CF34E7" w:rsidRDefault="005A42C0" w:rsidP="009606C6">
            <w:pPr>
              <w:jc w:val="both"/>
              <w:rPr>
                <w:color w:val="FF0000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ВАЖНО: НФК си запазва правото да преразпредели между сесиите свободния остатъчен финансов ресурс в случай на недостатъчен брой одобрени качествени предложения за финансиране по една от тях и наличие на такива по друга сесия.</w:t>
            </w:r>
          </w:p>
          <w:p w:rsidR="000578BC" w:rsidRPr="00CF34E7" w:rsidRDefault="005A42C0" w:rsidP="009606C6">
            <w:pPr>
              <w:jc w:val="both"/>
              <w:rPr>
                <w:rFonts w:eastAsia="Cambria"/>
                <w:sz w:val="28"/>
                <w:szCs w:val="28"/>
                <w:shd w:val="clear" w:color="auto" w:fill="D9D9D9"/>
              </w:rPr>
            </w:pPr>
            <w:r w:rsidRPr="00CF34E7">
              <w:rPr>
                <w:sz w:val="28"/>
                <w:szCs w:val="28"/>
              </w:rPr>
              <w:t xml:space="preserve">По процедурата се предоставя безвъзмездно финансиране в размер до 90% от стойността на допустимите разходи при задължително съфинансиране от страна на крайните получатели в размер на най-малко 10% от стойността на </w:t>
            </w:r>
            <w:r w:rsidR="00736910" w:rsidRPr="00CF34E7">
              <w:rPr>
                <w:sz w:val="28"/>
                <w:szCs w:val="28"/>
              </w:rPr>
              <w:t>допустимите разходи</w:t>
            </w:r>
          </w:p>
        </w:tc>
      </w:tr>
    </w:tbl>
    <w:p w:rsidR="000578BC" w:rsidRPr="00CD1C33" w:rsidRDefault="00084D2E" w:rsidP="00CD1C33">
      <w:pPr>
        <w:pStyle w:val="Heading1"/>
        <w:spacing w:before="120" w:after="120"/>
        <w:ind w:left="709"/>
        <w:rPr>
          <w:rFonts w:ascii="Times New Roman" w:eastAsia="Cambria" w:hAnsi="Times New Roman" w:cs="Times New Roman"/>
          <w:color w:val="0070C0"/>
          <w:sz w:val="24"/>
          <w:lang w:val="bg-BG"/>
        </w:rPr>
      </w:pPr>
      <w:bookmarkStart w:id="9" w:name="_Toc151332341"/>
      <w:r w:rsidRPr="00CD1C33">
        <w:rPr>
          <w:rFonts w:ascii="Times New Roman" w:eastAsia="Cambria" w:hAnsi="Times New Roman" w:cs="Times New Roman"/>
          <w:color w:val="0070C0"/>
          <w:sz w:val="24"/>
          <w:lang w:val="bg-BG"/>
        </w:rPr>
        <w:t>Допустими кандидати</w:t>
      </w:r>
      <w:bookmarkEnd w:id="9"/>
    </w:p>
    <w:tbl>
      <w:tblPr>
        <w:tblStyle w:val="afff5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51"/>
      </w:tblGrid>
      <w:tr w:rsidR="008F6B0C" w:rsidRPr="00CF34E7">
        <w:tc>
          <w:tcPr>
            <w:tcW w:w="9351" w:type="dxa"/>
            <w:shd w:val="clear" w:color="auto" w:fill="auto"/>
          </w:tcPr>
          <w:p w:rsidR="000578BC" w:rsidRPr="00CF34E7" w:rsidRDefault="00084D2E" w:rsidP="0010450D">
            <w:pPr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Критерии за допустимост на кандидатите:</w:t>
            </w:r>
          </w:p>
          <w:p w:rsidR="000578BC" w:rsidRPr="00CF34E7" w:rsidRDefault="00084D2E" w:rsidP="0010450D">
            <w:pPr>
              <w:jc w:val="both"/>
              <w:rPr>
                <w:rFonts w:eastAsia="Cambria"/>
                <w:strike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Кандидати по процедурата могат да бъдат само културни организации по смисъла на Закона за закрила и развитие на културата, както и еднолични търговци с предмет на</w:t>
            </w:r>
            <w:r w:rsidR="002E224A" w:rsidRPr="00CF34E7">
              <w:rPr>
                <w:rFonts w:eastAsia="Cambria"/>
                <w:sz w:val="28"/>
                <w:szCs w:val="28"/>
              </w:rPr>
              <w:t xml:space="preserve"> дейност в сферата на културата.</w:t>
            </w:r>
            <w:r w:rsidRPr="00CF34E7">
              <w:rPr>
                <w:rFonts w:eastAsia="Cambria"/>
                <w:sz w:val="28"/>
                <w:szCs w:val="28"/>
              </w:rPr>
              <w:t xml:space="preserve"> </w:t>
            </w:r>
          </w:p>
          <w:p w:rsidR="000578BC" w:rsidRPr="00CF34E7" w:rsidRDefault="00084D2E" w:rsidP="0010450D">
            <w:pPr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Културни организации са:</w:t>
            </w:r>
          </w:p>
          <w:p w:rsidR="000578BC" w:rsidRPr="00CF34E7" w:rsidRDefault="00084D2E" w:rsidP="0010450D">
            <w:pPr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1. държавните, общинските и регионалните културни институти, създадени съгласно чл. 4, ал. 1 от Закона за закрила и развитие на културата;</w:t>
            </w:r>
          </w:p>
          <w:p w:rsidR="000578BC" w:rsidRPr="00CF34E7" w:rsidRDefault="00084D2E" w:rsidP="0010450D">
            <w:pPr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 xml:space="preserve">2. лица, осъществяващи дейност като частни културни организации, учредени съгласно Търговския закон или Закона за кооперациите, чийто предмет на дейност е създаването, разпространението и опазването на културни ценности в областта на театъра, музиката, киното, аудиовизията, </w:t>
            </w:r>
            <w:r w:rsidRPr="00CF34E7">
              <w:rPr>
                <w:rFonts w:eastAsia="Cambria"/>
                <w:sz w:val="28"/>
                <w:szCs w:val="28"/>
              </w:rPr>
              <w:lastRenderedPageBreak/>
              <w:t>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наследство;</w:t>
            </w:r>
          </w:p>
          <w:p w:rsidR="000578BC" w:rsidRPr="00CF34E7" w:rsidRDefault="00084D2E" w:rsidP="0010450D">
            <w:pPr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3. едноличните търговци, учредени съгласно Търговския закон, чийто предмет на дейност е създаването, разпространението и опазването на културни ценности в областта на театъра, музиката, киното, аудиовизията, 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наследство;</w:t>
            </w:r>
          </w:p>
          <w:p w:rsidR="000578BC" w:rsidRPr="00CF34E7" w:rsidRDefault="00084D2E" w:rsidP="0010450D">
            <w:pPr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4. лица, осъществяващи дейност като частни културни организации, учредени съгласно Закона за юридическите лица с нестопанска цел с вписана в Устава/Учредителния си акт цел, свързана със създаването, разпространението и опазването на културни ценности в областта на театъра, музиката, киното, аудиовизията, 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наследство;</w:t>
            </w:r>
          </w:p>
          <w:p w:rsidR="000578BC" w:rsidRPr="00CF34E7" w:rsidRDefault="00084D2E" w:rsidP="0010450D">
            <w:pPr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5. лица, осъществяващи дейност като частни културни организации, учредени съгласно Закона за народните читалища;</w:t>
            </w:r>
          </w:p>
          <w:p w:rsidR="000578BC" w:rsidRPr="00CF34E7" w:rsidRDefault="00033288" w:rsidP="0010450D">
            <w:pPr>
              <w:jc w:val="both"/>
              <w:rPr>
                <w:rFonts w:eastAsia="Cambria"/>
                <w:sz w:val="28"/>
                <w:szCs w:val="28"/>
                <w:highlight w:val="green"/>
              </w:rPr>
            </w:pPr>
            <w:r w:rsidRPr="00CF34E7">
              <w:rPr>
                <w:rFonts w:eastAsia="Cambria"/>
                <w:sz w:val="28"/>
                <w:szCs w:val="28"/>
              </w:rPr>
              <w:t>Клонове на юридически лица, регистрирани в България, не могат да участват в процедурата поради липсата на самостоятелна правосубектност.</w:t>
            </w:r>
          </w:p>
          <w:p w:rsidR="000578BC" w:rsidRPr="00CF34E7" w:rsidRDefault="00084D2E" w:rsidP="0010450D">
            <w:pPr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 xml:space="preserve">Всеки кандидат може да подаде само едно предложение по </w:t>
            </w:r>
            <w:r w:rsidR="009C1B47" w:rsidRPr="00CF34E7">
              <w:rPr>
                <w:rFonts w:eastAsia="Cambria"/>
                <w:sz w:val="28"/>
                <w:szCs w:val="28"/>
              </w:rPr>
              <w:t>всяка от сесиите на процедурата</w:t>
            </w:r>
          </w:p>
          <w:p w:rsidR="00AB0468" w:rsidRPr="00CF34E7" w:rsidRDefault="00AB0468" w:rsidP="0010450D">
            <w:pPr>
              <w:jc w:val="both"/>
              <w:rPr>
                <w:b/>
                <w:sz w:val="28"/>
                <w:szCs w:val="28"/>
                <w:lang/>
              </w:rPr>
            </w:pPr>
            <w:r w:rsidRPr="00CF34E7">
              <w:rPr>
                <w:b/>
                <w:sz w:val="28"/>
                <w:szCs w:val="28"/>
                <w:lang/>
              </w:rPr>
              <w:t>Критерии за недопустимост на кандидатите:</w:t>
            </w:r>
          </w:p>
          <w:p w:rsidR="00942F90" w:rsidRPr="00CF34E7" w:rsidRDefault="00942F90" w:rsidP="0010450D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В процедура чрез подбор не може да участват и средства от Механизма не се предоставят на кандидати: </w:t>
            </w:r>
          </w:p>
          <w:p w:rsidR="00942F90" w:rsidRPr="00CF34E7" w:rsidRDefault="00942F90" w:rsidP="0010450D">
            <w:pPr>
              <w:pStyle w:val="ListParagraph"/>
              <w:ind w:left="0"/>
              <w:jc w:val="both"/>
              <w:rPr>
                <w:color w:val="FF0000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1. за които са налице обстоятелства за отстраняване от участие в процедура за възлагане на обществена поръчка съгласно чл. 54, ал. 1, т. 1 – 3 и 5 – 7 от Закона за обществените поръчки. Изискванията по чл. 54, ал. 1, т.1, 2 и 7 от Закона за обществените поръчки се отнасят за лицата, които представляват кандидата;</w:t>
            </w:r>
          </w:p>
          <w:p w:rsidR="00942F90" w:rsidRPr="00CF34E7" w:rsidRDefault="00942F90" w:rsidP="0010450D">
            <w:pPr>
              <w:pStyle w:val="ListParagraph"/>
              <w:ind w:left="0"/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2. 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15 от допълнителните </w:t>
            </w:r>
            <w:r w:rsidRPr="00CF34E7">
              <w:rPr>
                <w:sz w:val="28"/>
                <w:szCs w:val="28"/>
                <w:lang/>
              </w:rPr>
              <w:lastRenderedPageBreak/>
              <w:t>разпоредби на Закона за отнемане на незаконно придобитото имущество с Изпълнителния директор на НФК;</w:t>
            </w:r>
          </w:p>
          <w:p w:rsidR="00942F90" w:rsidRPr="00CF34E7" w:rsidRDefault="00942F90" w:rsidP="0010450D">
            <w:pPr>
              <w:pStyle w:val="ListParagraph"/>
              <w:ind w:left="0"/>
              <w:jc w:val="both"/>
              <w:rPr>
                <w:rFonts w:eastAsia="Calibri"/>
                <w:color w:val="FF0000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3. за които са налице следните обстоятелства: </w:t>
            </w:r>
          </w:p>
          <w:p w:rsidR="00942F90" w:rsidRPr="00CF34E7" w:rsidRDefault="00942F90" w:rsidP="0010450D">
            <w:pPr>
              <w:pStyle w:val="ListParagraph"/>
              <w:ind w:left="0"/>
              <w:jc w:val="both"/>
              <w:rPr>
                <w:rFonts w:eastAsia="Calibri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3.1. обявен е в несъстоятелност; </w:t>
            </w:r>
          </w:p>
          <w:p w:rsidR="00942F90" w:rsidRPr="00CF34E7" w:rsidRDefault="00942F90" w:rsidP="0010450D">
            <w:pPr>
              <w:pStyle w:val="ListParagraph"/>
              <w:ind w:left="0"/>
              <w:jc w:val="both"/>
              <w:rPr>
                <w:rFonts w:eastAsia="Calibri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3.2. в производство по несъстоятелност е; </w:t>
            </w:r>
          </w:p>
          <w:p w:rsidR="00942F90" w:rsidRPr="00CF34E7" w:rsidRDefault="00942F90" w:rsidP="0010450D">
            <w:pPr>
              <w:pStyle w:val="ListParagraph"/>
              <w:ind w:left="0"/>
              <w:jc w:val="both"/>
              <w:rPr>
                <w:rFonts w:eastAsia="Calibri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3.3. в процедура по ликвидация е; </w:t>
            </w:r>
          </w:p>
          <w:p w:rsidR="00942F90" w:rsidRPr="00CF34E7" w:rsidRDefault="00942F90" w:rsidP="0010450D">
            <w:pPr>
              <w:pStyle w:val="ListParagraph"/>
              <w:ind w:left="0"/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3.4. опитал </w:t>
            </w:r>
            <w:r w:rsidR="00CA013A" w:rsidRPr="00CF34E7">
              <w:rPr>
                <w:sz w:val="28"/>
                <w:szCs w:val="28"/>
                <w:lang/>
              </w:rPr>
              <w:t xml:space="preserve">се </w:t>
            </w:r>
            <w:r w:rsidRPr="00CF34E7">
              <w:rPr>
                <w:sz w:val="28"/>
                <w:szCs w:val="28"/>
                <w:lang/>
              </w:rPr>
              <w:t>е да:</w:t>
            </w:r>
          </w:p>
          <w:p w:rsidR="00942F90" w:rsidRPr="00CF34E7" w:rsidRDefault="00942F90" w:rsidP="0010450D">
            <w:pPr>
              <w:pStyle w:val="ListParagraph"/>
              <w:ind w:left="0"/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- повли</w:t>
            </w:r>
            <w:r w:rsidR="00ED2F57" w:rsidRPr="00CF34E7">
              <w:rPr>
                <w:sz w:val="28"/>
                <w:szCs w:val="28"/>
                <w:lang/>
              </w:rPr>
              <w:t>я</w:t>
            </w:r>
            <w:r w:rsidRPr="00CF34E7">
              <w:rPr>
                <w:sz w:val="28"/>
                <w:szCs w:val="28"/>
                <w:lang/>
              </w:rPr>
              <w:t xml:space="preserve">е на вземането на решение от страна на Структурата за наблюдение и докладване (НФК) по процедурата, свързано с отстраняването, подбора или възлагането, включително чрез предоставяне на невярна или заблуждаваща информация; </w:t>
            </w:r>
          </w:p>
          <w:p w:rsidR="00942F90" w:rsidRPr="00CF34E7" w:rsidRDefault="00942F90" w:rsidP="0010450D">
            <w:pPr>
              <w:pStyle w:val="ListParagraph"/>
              <w:ind w:left="0"/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- получи информация, която може да му даде неоснователно предимство в процедурата за предоставяне на средства.</w:t>
            </w:r>
          </w:p>
          <w:p w:rsidR="00942F90" w:rsidRPr="00CF34E7" w:rsidRDefault="00942F90" w:rsidP="0010450D">
            <w:pPr>
              <w:pStyle w:val="ListParagraph"/>
              <w:ind w:left="0"/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Изискванията по т. 3.4. се отнасят за лицата, които представляват кандидата;</w:t>
            </w:r>
          </w:p>
          <w:p w:rsidR="00942F90" w:rsidRPr="00CF34E7" w:rsidRDefault="00942F90" w:rsidP="0010450D">
            <w:pPr>
              <w:pStyle w:val="ListParagraph"/>
              <w:ind w:left="0"/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4. които са в неизпълнение на решение на Европейската комисия по смисъла на чл. 44 от Закона за държавните помощи за възстановяване на предоставената им неправомерна и несъвместима държавна помощ или неправилно използвана държавна помощ;</w:t>
            </w:r>
          </w:p>
          <w:p w:rsidR="0099255A" w:rsidRPr="00CF34E7" w:rsidRDefault="00A274F5" w:rsidP="0010450D">
            <w:pPr>
              <w:jc w:val="both"/>
              <w:rPr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 xml:space="preserve">5. </w:t>
            </w:r>
            <w:r w:rsidR="0099255A" w:rsidRPr="00CF34E7">
              <w:rPr>
                <w:sz w:val="28"/>
                <w:szCs w:val="28"/>
              </w:rPr>
              <w:t>спрямо които е установено с влязъл в сила административен акт наличието на недължимо платени и/или надплатени суми, както и неправомерно получени и/или неправомерно усвоени средства по проекти, финансирани от предприсъединителните финансови инструменти, оперативните програми, Структурните фондове и Кохезионния фонд на Европейския съюз, европейските земеделски фондове и Европейския фонд за рибарството, Инструмента Шенген и Преходния финансов инструмент, включително от свързаното с тях национално съфинансиране.</w:t>
            </w:r>
          </w:p>
          <w:p w:rsidR="0099255A" w:rsidRPr="00CF34E7" w:rsidRDefault="0099255A" w:rsidP="0010450D">
            <w:pPr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 xml:space="preserve">Горепосоченото ограничение касае само вземания, произтичащи от недължимо платени и/или надплатени суми, както и неправомерно получени и/или неправомерно усвоени средства по предложения за изпълнение на инвестиции, финансирани от предприсъединителните финансови инструменти, оперативните програми, Структурните фондове и Кохезионния фонд на Европейския съюз, Европейските земеделски фондове и Европейския фонд за рибарството, Инструмента Шенген и Преходния финансов инструмент, които към момента на кандидатстване не </w:t>
            </w:r>
            <w:r w:rsidRPr="00CF34E7">
              <w:rPr>
                <w:sz w:val="28"/>
                <w:szCs w:val="28"/>
              </w:rPr>
              <w:lastRenderedPageBreak/>
              <w:t>са изплатени към съответната финансираща институция. Издаването на акт за установяване на публично държавно вземане само по себе си не е основание за отстраняване на кандидата за недопустимост, ако установеното вземане е погасено.</w:t>
            </w:r>
          </w:p>
          <w:p w:rsidR="00303170" w:rsidRPr="00CF34E7" w:rsidRDefault="00303170" w:rsidP="0010450D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Изискванията по т. 4 се прилагат и на равнище група – както за предприятието-кандидат, така и за предприятията, с които кандидатът формира група предприятия (разгледани в цялост). Проверката и определянето на „група“ ще се извършва по отношение на предприятие майка и всички негови дъщерни предприятия, като: „предприятие майка“ означава предприятие, което контролира едно или повече дъщерни предприятия и съответно „дъщерно предприятие“ означава предприятие, което се контролира от предприятие майка, включително дъщерно предприятие на крайно предприятие майка. Проверката включва преценка във връзка с наличието на икономически субект (кандидат), имащ общ източник на контрол на основание не само представения консолидиран финансов отчет (за група предприятия), но и наличната информация в публичните регистри (вкл. ТРРЮЛНЦ), отчитайки възможността общия източник на контрол да се осъществява, както от предприятия, така и от физически лица, участващи в управлението им.</w:t>
            </w:r>
          </w:p>
          <w:p w:rsidR="00303170" w:rsidRPr="00CF34E7" w:rsidRDefault="00642B29" w:rsidP="0010450D">
            <w:pPr>
              <w:jc w:val="both"/>
              <w:rPr>
                <w:sz w:val="28"/>
                <w:szCs w:val="28"/>
                <w:lang/>
              </w:rPr>
            </w:pPr>
            <w:r w:rsidRPr="007E4C36">
              <w:rPr>
                <w:sz w:val="28"/>
                <w:szCs w:val="28"/>
                <w:lang/>
              </w:rPr>
              <w:t xml:space="preserve">6. </w:t>
            </w:r>
            <w:r w:rsidR="00303170" w:rsidRPr="007E4C36">
              <w:rPr>
                <w:sz w:val="28"/>
                <w:szCs w:val="28"/>
                <w:lang/>
              </w:rPr>
              <w:t xml:space="preserve">с неизпълнени договорни задължения към НФК (нереализирани и неотчетени в срок проекти), </w:t>
            </w:r>
            <w:r w:rsidR="005D641D" w:rsidRPr="007E4C36">
              <w:rPr>
                <w:sz w:val="28"/>
                <w:szCs w:val="28"/>
                <w:lang/>
              </w:rPr>
              <w:t>вкл. и установено неизпълнение по съдебен ред,</w:t>
            </w:r>
            <w:r w:rsidR="007E4C36" w:rsidRPr="007E4C36">
              <w:rPr>
                <w:sz w:val="28"/>
                <w:szCs w:val="28"/>
                <w:lang/>
              </w:rPr>
              <w:t xml:space="preserve"> </w:t>
            </w:r>
            <w:r w:rsidR="00303170" w:rsidRPr="007E4C36">
              <w:rPr>
                <w:sz w:val="28"/>
                <w:szCs w:val="28"/>
                <w:lang/>
              </w:rPr>
              <w:t>както</w:t>
            </w:r>
            <w:r w:rsidR="00303170" w:rsidRPr="00CF34E7">
              <w:rPr>
                <w:sz w:val="28"/>
                <w:szCs w:val="28"/>
                <w:lang/>
              </w:rPr>
              <w:t xml:space="preserve"> и такива, които следва да възстановяват средства по одобрени, но некоректно реализирани проекти през изминали сесии на НФК;</w:t>
            </w:r>
          </w:p>
          <w:p w:rsidR="00303170" w:rsidRPr="00CF34E7" w:rsidRDefault="00DD0B1A" w:rsidP="0010450D">
            <w:pPr>
              <w:jc w:val="both"/>
              <w:rPr>
                <w:rFonts w:eastAsia="Cambria"/>
                <w:color w:val="0070C0"/>
                <w:sz w:val="28"/>
                <w:szCs w:val="28"/>
              </w:rPr>
            </w:pPr>
            <w:r w:rsidRPr="00CF34E7">
              <w:rPr>
                <w:sz w:val="28"/>
                <w:szCs w:val="28"/>
                <w:lang/>
              </w:rPr>
              <w:t>Критериите за недопустимост на кандидатите се прилагат кумулативно с критериит</w:t>
            </w:r>
            <w:r w:rsidR="009C1B47" w:rsidRPr="00CF34E7">
              <w:rPr>
                <w:sz w:val="28"/>
                <w:szCs w:val="28"/>
                <w:lang/>
              </w:rPr>
              <w:t>е за допустимост на кандидатите</w:t>
            </w:r>
          </w:p>
        </w:tc>
      </w:tr>
    </w:tbl>
    <w:p w:rsidR="000578BC" w:rsidRPr="00CF34E7" w:rsidRDefault="00084D2E" w:rsidP="00CD1C33">
      <w:pPr>
        <w:pStyle w:val="Heading1"/>
        <w:spacing w:before="120" w:after="120"/>
        <w:ind w:left="709"/>
        <w:rPr>
          <w:rFonts w:ascii="Times New Roman" w:eastAsia="Cambria" w:hAnsi="Times New Roman" w:cs="Times New Roman"/>
          <w:color w:val="0070C0"/>
          <w:lang w:val="bg-BG"/>
        </w:rPr>
      </w:pPr>
      <w:bookmarkStart w:id="10" w:name="_Toc151332342"/>
      <w:r w:rsidRPr="00CF34E7">
        <w:rPr>
          <w:rFonts w:ascii="Times New Roman" w:eastAsia="Cambria" w:hAnsi="Times New Roman" w:cs="Times New Roman"/>
          <w:color w:val="0070C0"/>
          <w:lang w:val="bg-BG"/>
        </w:rPr>
        <w:lastRenderedPageBreak/>
        <w:t>Допустими партньори</w:t>
      </w:r>
      <w:bookmarkEnd w:id="10"/>
    </w:p>
    <w:tbl>
      <w:tblPr>
        <w:tblStyle w:val="afff6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51"/>
      </w:tblGrid>
      <w:tr w:rsidR="008F6B0C" w:rsidRPr="00CF34E7">
        <w:tc>
          <w:tcPr>
            <w:tcW w:w="9351" w:type="dxa"/>
          </w:tcPr>
          <w:p w:rsidR="000578BC" w:rsidRDefault="00E8427D" w:rsidP="0010450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F34E7">
              <w:rPr>
                <w:bCs/>
                <w:color w:val="000000" w:themeColor="text1"/>
                <w:sz w:val="28"/>
                <w:szCs w:val="28"/>
              </w:rPr>
              <w:t>По настоящата проце</w:t>
            </w:r>
            <w:r w:rsidR="009C1B47" w:rsidRPr="00CF34E7">
              <w:rPr>
                <w:bCs/>
                <w:color w:val="000000" w:themeColor="text1"/>
                <w:sz w:val="28"/>
                <w:szCs w:val="28"/>
              </w:rPr>
              <w:t>дурата не се допускат партньори</w:t>
            </w:r>
            <w:r w:rsidRPr="00CF34E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43F62" w:rsidRPr="00CF34E7">
              <w:rPr>
                <w:rStyle w:val="FootnoteReference"/>
                <w:bCs/>
                <w:color w:val="000000" w:themeColor="text1"/>
                <w:sz w:val="28"/>
                <w:szCs w:val="28"/>
              </w:rPr>
              <w:footnoteReference w:id="2"/>
            </w:r>
          </w:p>
          <w:p w:rsidR="004C4425" w:rsidRPr="00CF34E7" w:rsidRDefault="004C4425" w:rsidP="0010450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454DC">
              <w:rPr>
                <w:bCs/>
                <w:color w:val="000000" w:themeColor="text1"/>
                <w:sz w:val="28"/>
                <w:szCs w:val="28"/>
              </w:rPr>
              <w:t xml:space="preserve">Допуска се привличане на партньорски организации, които няма да получават средства по процедурата и изпълнители на специфични дейности, заложени в проекта на кандидата, включително от медиен, </w:t>
            </w:r>
            <w:r w:rsidRPr="004454DC">
              <w:rPr>
                <w:bCs/>
                <w:color w:val="000000" w:themeColor="text1"/>
                <w:sz w:val="28"/>
                <w:szCs w:val="28"/>
              </w:rPr>
              <w:lastRenderedPageBreak/>
              <w:t>технически и творчески характер.</w:t>
            </w:r>
          </w:p>
        </w:tc>
      </w:tr>
    </w:tbl>
    <w:p w:rsidR="000578BC" w:rsidRPr="00CF34E7" w:rsidRDefault="00084D2E" w:rsidP="00CD1C33">
      <w:pPr>
        <w:pStyle w:val="Heading1"/>
        <w:spacing w:before="120" w:after="120"/>
        <w:ind w:left="709"/>
        <w:rPr>
          <w:rFonts w:ascii="Times New Roman" w:eastAsia="Cambria" w:hAnsi="Times New Roman" w:cs="Times New Roman"/>
          <w:color w:val="0070C0"/>
          <w:lang w:val="bg-BG"/>
        </w:rPr>
      </w:pPr>
      <w:bookmarkStart w:id="11" w:name="_Toc151332343"/>
      <w:r w:rsidRPr="00CF34E7">
        <w:rPr>
          <w:rFonts w:ascii="Times New Roman" w:eastAsia="Cambria" w:hAnsi="Times New Roman" w:cs="Times New Roman"/>
          <w:color w:val="0070C0"/>
          <w:lang w:val="bg-BG"/>
        </w:rPr>
        <w:lastRenderedPageBreak/>
        <w:t>Дейности, допустими за финансиране</w:t>
      </w:r>
      <w:bookmarkEnd w:id="11"/>
    </w:p>
    <w:p w:rsidR="000578BC" w:rsidRPr="00CF34E7" w:rsidRDefault="00084D2E" w:rsidP="00CD1C33">
      <w:pPr>
        <w:pStyle w:val="Heading2"/>
        <w:numPr>
          <w:ilvl w:val="0"/>
          <w:numId w:val="0"/>
        </w:numPr>
        <w:ind w:left="709"/>
        <w:rPr>
          <w:rFonts w:ascii="Times New Roman" w:eastAsia="Cambria" w:hAnsi="Times New Roman" w:cs="Times New Roman"/>
          <w:color w:val="0070C0"/>
          <w:sz w:val="28"/>
          <w:szCs w:val="28"/>
          <w:lang w:val="bg-BG"/>
        </w:rPr>
      </w:pPr>
      <w:bookmarkStart w:id="12" w:name="_Toc151332344"/>
      <w:r w:rsidRPr="00CF34E7">
        <w:rPr>
          <w:rFonts w:ascii="Times New Roman" w:eastAsia="Cambria" w:hAnsi="Times New Roman" w:cs="Times New Roman"/>
          <w:color w:val="0070C0"/>
          <w:sz w:val="28"/>
          <w:szCs w:val="28"/>
          <w:lang w:val="bg-BG"/>
        </w:rPr>
        <w:t>Условия за допустимост на дейностите по инвестицията</w:t>
      </w:r>
      <w:bookmarkEnd w:id="12"/>
    </w:p>
    <w:tbl>
      <w:tblPr>
        <w:tblStyle w:val="afff7"/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88"/>
      </w:tblGrid>
      <w:tr w:rsidR="008F6B0C" w:rsidRPr="00CF34E7">
        <w:tc>
          <w:tcPr>
            <w:tcW w:w="9488" w:type="dxa"/>
          </w:tcPr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ПИИ на кандидатите следва да съответстват на принципите на икономичност, ефективност и ефикасност, както и на Техническите насоки 2021/C58/01.  Допустимите дейности следва да водят до постигане на целта на процедурата при най-адекватно съотношение между очакваните разходи и ползи.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Допустимите предложения следва да: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1. водят до постигане на целта на настоящата процедура; 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2. са в съответствие с принципа за „ненанасяне на значителни вреди“</w:t>
            </w:r>
            <w:r w:rsidRPr="00CF34E7">
              <w:rPr>
                <w:rStyle w:val="FootnoteReference"/>
                <w:sz w:val="28"/>
                <w:szCs w:val="28"/>
              </w:rPr>
              <w:footnoteReference w:id="3"/>
            </w:r>
            <w:r w:rsidRPr="00CF34E7">
              <w:rPr>
                <w:sz w:val="28"/>
                <w:szCs w:val="28"/>
                <w:lang/>
              </w:rPr>
              <w:t>;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3. са в съответствие с принципите на равнопоставеност на жените и мъжете и осигуряване на равни възможности за всички;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4. са в съответствие с принципите на допълняемост на финансирането от ЕС и недопускане на двойно финансиране;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1. Дейностите, предвидени за изпълнение в рамките на всяко конкретно проектно предложение, следва да са насочени към постигането на целта и резултатите на настоящата процедура. </w:t>
            </w:r>
          </w:p>
          <w:p w:rsidR="003D48E1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„Култура“ е дейността по създаването, проучването, разпространението и опазването на културните ценности, както и резултатите от тази дейност. „Културна ценност“ </w:t>
            </w:r>
            <w:r w:rsidR="003D48E1" w:rsidRPr="00CF34E7">
              <w:rPr>
                <w:sz w:val="28"/>
                <w:szCs w:val="28"/>
                <w:lang/>
              </w:rPr>
              <w:t xml:space="preserve">съгласно Закона за културното наследство </w:t>
            </w:r>
            <w:r w:rsidRPr="00CF34E7">
              <w:rPr>
                <w:sz w:val="28"/>
                <w:szCs w:val="28"/>
                <w:lang/>
              </w:rPr>
              <w:t xml:space="preserve">е нематериално или материално свидетелство за човешко присъствие и дейност, природна даденост или феномен, което е от значение за индивида, общността или обществото и има научна или културна стойност. Културна ценност може да бъде и нематериално или материално свидетелство за човешко присъствие и дейност, което има научна или културна стойност и е от значение за Българската православна църква и другите регистрирани вероизповедания. Културни ценности са и фрагменти от археологически или други предмети, които са в разрушен вид, съставляват малка част от автентична цялост на предмета, обезличени са в значителна степен, не </w:t>
            </w:r>
            <w:r w:rsidRPr="00CF34E7">
              <w:rPr>
                <w:sz w:val="28"/>
                <w:szCs w:val="28"/>
                <w:lang/>
              </w:rPr>
              <w:lastRenderedPageBreak/>
              <w:t xml:space="preserve">притежават значима културна, научна или художествена стойност и могат да бъдат определени като масов материал. 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„Културен продукт“ е крайният резултат от дейности, основаващи се на културни ценности и/или художествени и творчески форми на изразяване, притежаващ специфично качество, употреба или цел, и който въплъщава или предава определена форма на културно изразяване.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2. Допустими за финансиране са само дейности, които спазват принципа за „ненанасяне на значителни вреди“, представляващ хоризонтален принцип на МВУ съгласно чл. 5, пар. 2 от Регламент (ЕС) № 2021/241.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Предложенията за изпълнение на инвестиции следва да са в съответствие с принципа за „ненанасяне на значителни вреди“. „Ненанасяне на значителни вреди“ означава да не се подкрепят или извършват икономически дейности, които нанасят значителни вреди на която и да било екологична цел, когато е приложимо, по смисъла на член 17 от Регламент (ЕС) 2020/852 на Европейския парламент и на Съвета от 18 юни 2020 година за създаване на рамка за улесняване на устойчивите инвестиции и за изменение на Регламент (ЕС) 2019/2088 (Регламента за таксономията).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Посоченият принцип изисква предложенията за изпълнение на инвестиция по настоящата процедура да не водят до значителни вреди за следните шест екологични цели: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а) смекчаване на изменението на климата;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б) адаптиране към изменението на климата;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в) устойчиво използване и опазване на водните и морските ресурси;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г) преход към кръгова икономика;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д) предотвратяване и контрол на замърсяването;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е) защита и възстановяване на биологичното разнообразие и екосистемите.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С цел гарантиране в максимална степен на спазването на принципа за „ненанасяне на значителни вреди“, няма да се подкрепят: 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i) дейностите и активите, свързани с изкопаеми горива, включително използване надолу по веригата; 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lastRenderedPageBreak/>
              <w:t xml:space="preserve">ii) дейностите и активите по схемата на ЕС за търговия с емисии, при които прогнозните емисии на парникови газове не са по-ниски от съответните референтни стойности; 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iii) дейностите и активите, свързани със сметища, инсталации за изгаряне на отпадъци и заводи за механично-биологично третиране;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iv) дейностите и активите, при които дългосрочното обезвреждане на отпадъци може да причини вреда на околната среда.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3. Допустими за финансиране са само дейности, които спазват принципите на равнопоставеност на жените и мъжете, и осигуряване на равни възможности за всички.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ВАЖНО: Спазването на заложените в предложението принципи ще се проследява, както следва:</w:t>
            </w:r>
          </w:p>
          <w:p w:rsidR="00141558" w:rsidRPr="00CF34E7" w:rsidRDefault="00141558" w:rsidP="00A075DA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- За удостоверяване на съответствието на инвестицията с принципите по т. 2 и т. 3 при подаване на предложението, кандидатите декларират съответните обстоятелства в Декларацията при кандидатстване (Приложение № 3).</w:t>
            </w:r>
          </w:p>
          <w:p w:rsidR="00141558" w:rsidRPr="00CF34E7" w:rsidRDefault="00141558" w:rsidP="00A075DA">
            <w:pPr>
              <w:jc w:val="both"/>
              <w:rPr>
                <w:rFonts w:eastAsia="Calibri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- В края на изпълнението на инвестицията крайните получатели следва задължително да представят информация във финалния отчет относно осигуреното съответствие на инвестицията с принципите по т. 2 и т. 3. </w:t>
            </w:r>
          </w:p>
          <w:p w:rsidR="00141558" w:rsidRPr="00CF34E7" w:rsidRDefault="00141558" w:rsidP="00A075DA">
            <w:pPr>
              <w:jc w:val="both"/>
              <w:rPr>
                <w:rFonts w:eastAsia="Calibri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ВАЖНО: Крайните получатели ще подлежат на контрол, който да удостовери спазването на изискванията на Техническите насоки за прилагането на принципа за „ненанасяне на значителни вреди“ съгласно Регламента за Механизма за възстановяване и устойчивост (2021/C 58/01).</w:t>
            </w:r>
          </w:p>
          <w:p w:rsidR="00141558" w:rsidRPr="00CF34E7" w:rsidRDefault="00141558" w:rsidP="00A075DA">
            <w:pPr>
              <w:jc w:val="both"/>
              <w:rPr>
                <w:rFonts w:eastAsia="Calibri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4. Допустими за финансиране са само дейности, които спазват принципите на допълняемост на финансирането от ЕС и недопускане на двойно финансиране, а именно:</w:t>
            </w:r>
          </w:p>
          <w:p w:rsidR="00141558" w:rsidRPr="00CF34E7" w:rsidRDefault="00141558" w:rsidP="00A075DA">
            <w:pPr>
              <w:pStyle w:val="ListParagraph"/>
              <w:numPr>
                <w:ilvl w:val="0"/>
                <w:numId w:val="14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не заместват периодични национални бюджетни разходи, и</w:t>
            </w:r>
          </w:p>
          <w:p w:rsidR="00141558" w:rsidRPr="00CF34E7" w:rsidRDefault="00141558" w:rsidP="00A075DA">
            <w:pPr>
              <w:pStyle w:val="ListParagraph"/>
              <w:numPr>
                <w:ilvl w:val="0"/>
                <w:numId w:val="14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получават подкрепа от други програми и инструменти на Съюза само при условие, че тази подкрепа не покрива същите разходи.</w:t>
            </w:r>
          </w:p>
          <w:p w:rsidR="00141558" w:rsidRPr="00CF34E7" w:rsidRDefault="00141558" w:rsidP="00A075DA">
            <w:pPr>
              <w:jc w:val="both"/>
              <w:rPr>
                <w:rFonts w:eastAsia="Calibri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Спазването на този принцип се осъществява от: </w:t>
            </w:r>
          </w:p>
          <w:p w:rsidR="00141558" w:rsidRPr="00CF34E7" w:rsidRDefault="00141558" w:rsidP="00A075DA">
            <w:pPr>
              <w:jc w:val="both"/>
              <w:rPr>
                <w:rFonts w:eastAsia="Calibri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4.1. НФК:</w:t>
            </w:r>
          </w:p>
          <w:p w:rsidR="00141558" w:rsidRPr="00CF34E7" w:rsidRDefault="00141558" w:rsidP="00A075DA">
            <w:pPr>
              <w:pStyle w:val="ListParagraph"/>
              <w:numPr>
                <w:ilvl w:val="0"/>
                <w:numId w:val="14"/>
              </w:numPr>
              <w:ind w:left="0" w:firstLine="0"/>
              <w:jc w:val="both"/>
              <w:rPr>
                <w:rFonts w:eastAsia="Calibri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при програмирането на настоящата процедура чрез осигуряване на </w:t>
            </w:r>
            <w:r w:rsidRPr="00CF34E7">
              <w:rPr>
                <w:sz w:val="28"/>
                <w:szCs w:val="28"/>
                <w:lang/>
              </w:rPr>
              <w:lastRenderedPageBreak/>
              <w:t>ясна демаркация на подкрепата по настоящата процедура от подкрепата по други програми и инструменти на ЕС и от периодич</w:t>
            </w:r>
            <w:r w:rsidR="00A65994" w:rsidRPr="00CF34E7">
              <w:rPr>
                <w:sz w:val="28"/>
                <w:szCs w:val="28"/>
                <w:lang/>
              </w:rPr>
              <w:t>ни национални бюджетни разходи</w:t>
            </w:r>
            <w:r w:rsidR="00FF26A2" w:rsidRPr="00CF34E7">
              <w:rPr>
                <w:sz w:val="28"/>
                <w:szCs w:val="28"/>
                <w:lang/>
              </w:rPr>
              <w:t xml:space="preserve">, </w:t>
            </w:r>
            <w:r w:rsidRPr="00CF34E7">
              <w:rPr>
                <w:sz w:val="28"/>
                <w:szCs w:val="28"/>
                <w:lang/>
              </w:rPr>
              <w:t>които биха били извършени независимо от изпълнението на НПВУ, и</w:t>
            </w:r>
          </w:p>
          <w:p w:rsidR="00141558" w:rsidRPr="00CF34E7" w:rsidRDefault="00141558" w:rsidP="00A075DA">
            <w:pPr>
              <w:pStyle w:val="ListParagraph"/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при проверката на Финансово-техническите отчети (ФТО) на КП на средства за недопускане на двойно финансиране на разходи от МВУ и друг източник; При извършване на проверката, с оглед избягване на двойно финансиране, НФК ще прави проверка по отношение на изразходваните средства и тяхната допус</w:t>
            </w:r>
            <w:r w:rsidR="00E76A4B">
              <w:rPr>
                <w:sz w:val="28"/>
                <w:szCs w:val="28"/>
                <w:lang/>
              </w:rPr>
              <w:t>тимост чрез приложените разходо</w:t>
            </w:r>
            <w:r w:rsidRPr="00CF34E7">
              <w:rPr>
                <w:sz w:val="28"/>
                <w:szCs w:val="28"/>
                <w:lang/>
              </w:rPr>
              <w:t>оправдателни и платежни документи, както и при необходимост чрез изискване на допълнителна информация от други публични институции. Ако в резултат на извършената проверка се установи наличие на двойно финансиране на разходи по проекта, получената безвъзмездна помощ подлежи на възстановяване, вкл. начислената законна лихва съгласно Административния договор.</w:t>
            </w:r>
          </w:p>
          <w:p w:rsidR="00141558" w:rsidRPr="00CF34E7" w:rsidRDefault="00141558" w:rsidP="00A075DA">
            <w:pPr>
              <w:jc w:val="both"/>
              <w:rPr>
                <w:rFonts w:eastAsia="Calibri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4.2. Кандидатите за средства от МВУ </w:t>
            </w:r>
          </w:p>
          <w:p w:rsidR="00141558" w:rsidRPr="00CF34E7" w:rsidRDefault="00141558" w:rsidP="00A075DA">
            <w:pPr>
              <w:pStyle w:val="ListParagraph"/>
              <w:ind w:left="0"/>
              <w:jc w:val="both"/>
              <w:rPr>
                <w:rFonts w:eastAsia="Calibri"/>
                <w:color w:val="FF0000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- чрез попълване на декларация.</w:t>
            </w:r>
          </w:p>
          <w:p w:rsidR="00141558" w:rsidRPr="00CF34E7" w:rsidRDefault="00141558" w:rsidP="00A075DA">
            <w:pPr>
              <w:jc w:val="both"/>
              <w:rPr>
                <w:rFonts w:eastAsia="Calibri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4.3. Крайните получатели на средства </w:t>
            </w:r>
          </w:p>
          <w:p w:rsidR="00141558" w:rsidRPr="00CF34E7" w:rsidRDefault="00141558" w:rsidP="00A075DA">
            <w:pPr>
              <w:pStyle w:val="ListParagraph"/>
              <w:ind w:left="0"/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- чрез представянето, при подаването на ФТО, на пълна информация относно всички изпълнявани дейности и проекти към този момент, финансирани от други източници</w:t>
            </w:r>
          </w:p>
          <w:p w:rsidR="00141558" w:rsidRPr="00CF34E7" w:rsidRDefault="00141558" w:rsidP="00A0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mbria"/>
                <w:color w:val="0070C0"/>
                <w:sz w:val="28"/>
                <w:szCs w:val="28"/>
              </w:rPr>
            </w:pPr>
            <w:r w:rsidRPr="00CF34E7">
              <w:rPr>
                <w:sz w:val="28"/>
                <w:szCs w:val="28"/>
                <w:lang/>
              </w:rPr>
              <w:t>- чрез деклариране, че не са допуснали двойно финансиране на разходи от МВУ и друг източник.</w:t>
            </w:r>
          </w:p>
          <w:p w:rsidR="00B344EF" w:rsidRPr="00CF34E7" w:rsidRDefault="00B344EF" w:rsidP="00A0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mbria"/>
                <w:sz w:val="28"/>
                <w:szCs w:val="28"/>
              </w:rPr>
            </w:pPr>
          </w:p>
          <w:p w:rsidR="000578BC" w:rsidRPr="00CF34E7" w:rsidRDefault="00084D2E" w:rsidP="00A0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 xml:space="preserve">Допустими за финансиране са дейности извън забранените сектори по </w:t>
            </w:r>
            <w:r w:rsidR="00AB7296" w:rsidRPr="00C65BAA">
              <w:rPr>
                <w:rFonts w:eastAsia="Cambria"/>
                <w:sz w:val="28"/>
                <w:szCs w:val="28"/>
              </w:rPr>
              <w:t>Регламент (ЕС) 2023/2831 на Комисията от 13 декември 2023 година относно прилагането на членове 107 и 108 от Договора за функционирането на Европейския съюз към помощта de minimis:</w:t>
            </w:r>
          </w:p>
          <w:p w:rsidR="000578BC" w:rsidRPr="00CF34E7" w:rsidRDefault="00084D2E" w:rsidP="00A0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а) дейност в сектора на рибарството и аквакултурите,</w:t>
            </w:r>
          </w:p>
          <w:p w:rsidR="000578BC" w:rsidRPr="00CF34E7" w:rsidRDefault="00084D2E" w:rsidP="00A0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обхванати от Регламент (ЕО) № 104/2000 на Съвета (1);</w:t>
            </w:r>
          </w:p>
          <w:p w:rsidR="000578BC" w:rsidRPr="00CF34E7" w:rsidRDefault="00084D2E" w:rsidP="00A0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б) дейност в областта на първичното производство на селскостопански продукти;</w:t>
            </w:r>
          </w:p>
          <w:p w:rsidR="000578BC" w:rsidRPr="00CF34E7" w:rsidRDefault="00084D2E" w:rsidP="00A0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в) дейности в сектора на преработката и търговията със селскостопански продукти;</w:t>
            </w:r>
          </w:p>
          <w:p w:rsidR="000578BC" w:rsidRPr="00CF34E7" w:rsidRDefault="00084D2E" w:rsidP="00A0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lastRenderedPageBreak/>
              <w:t>г) дейности, свързани с износ за трети държави или</w:t>
            </w:r>
            <w:r w:rsidR="004667ED" w:rsidRPr="00CF34E7">
              <w:rPr>
                <w:rFonts w:eastAsia="Cambria"/>
                <w:sz w:val="28"/>
                <w:szCs w:val="28"/>
              </w:rPr>
              <w:t xml:space="preserve"> </w:t>
            </w:r>
            <w:r w:rsidRPr="00CF34E7">
              <w:rPr>
                <w:rFonts w:eastAsia="Cambria"/>
                <w:sz w:val="28"/>
                <w:szCs w:val="28"/>
              </w:rPr>
              <w:t>държави членки, по-конкретно помощите, пряко свързани с</w:t>
            </w:r>
            <w:r w:rsidR="004667ED" w:rsidRPr="00CF34E7">
              <w:rPr>
                <w:rFonts w:eastAsia="Cambria"/>
                <w:sz w:val="28"/>
                <w:szCs w:val="28"/>
              </w:rPr>
              <w:t xml:space="preserve"> </w:t>
            </w:r>
            <w:r w:rsidRPr="00CF34E7">
              <w:rPr>
                <w:rFonts w:eastAsia="Cambria"/>
                <w:sz w:val="28"/>
                <w:szCs w:val="28"/>
              </w:rPr>
              <w:t>изнасяните количества, със създаването и функционирането на</w:t>
            </w:r>
            <w:r w:rsidR="004667ED" w:rsidRPr="00CF34E7">
              <w:rPr>
                <w:rFonts w:eastAsia="Cambria"/>
                <w:sz w:val="28"/>
                <w:szCs w:val="28"/>
              </w:rPr>
              <w:t xml:space="preserve"> </w:t>
            </w:r>
            <w:r w:rsidRPr="00CF34E7">
              <w:rPr>
                <w:rFonts w:eastAsia="Cambria"/>
                <w:sz w:val="28"/>
                <w:szCs w:val="28"/>
              </w:rPr>
              <w:t>дистрибуторска мрежа или с други текущи разходи, свързани</w:t>
            </w:r>
            <w:r w:rsidR="004667ED" w:rsidRPr="00CF34E7">
              <w:rPr>
                <w:rFonts w:eastAsia="Cambria"/>
                <w:sz w:val="28"/>
                <w:szCs w:val="28"/>
              </w:rPr>
              <w:t xml:space="preserve"> </w:t>
            </w:r>
            <w:r w:rsidRPr="00CF34E7">
              <w:rPr>
                <w:rFonts w:eastAsia="Cambria"/>
                <w:sz w:val="28"/>
                <w:szCs w:val="28"/>
              </w:rPr>
              <w:t>с износа;</w:t>
            </w:r>
          </w:p>
          <w:p w:rsidR="000578BC" w:rsidRPr="00CF34E7" w:rsidRDefault="00084D2E" w:rsidP="00A0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д) преференциалното използване на национални продукти спрямо вносни такива.</w:t>
            </w:r>
          </w:p>
          <w:p w:rsidR="000578BC" w:rsidRPr="00CF34E7" w:rsidRDefault="00084D2E" w:rsidP="00D10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70C0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 xml:space="preserve">Спазването на този принцип се </w:t>
            </w:r>
            <w:r w:rsidR="00D1049E" w:rsidRPr="00CF34E7">
              <w:rPr>
                <w:rFonts w:eastAsia="Cambria"/>
                <w:sz w:val="28"/>
                <w:szCs w:val="28"/>
              </w:rPr>
              <w:t>осигурява</w:t>
            </w:r>
            <w:r w:rsidRPr="00CF34E7">
              <w:rPr>
                <w:rFonts w:eastAsia="Cambria"/>
                <w:sz w:val="28"/>
                <w:szCs w:val="28"/>
              </w:rPr>
              <w:t xml:space="preserve"> от НФК при програмирането на настоящата процедура чрез ясно определяне на допустимите по нея дейности</w:t>
            </w:r>
            <w:r w:rsidRPr="00CF34E7">
              <w:rPr>
                <w:rFonts w:eastAsia="Calibri"/>
                <w:sz w:val="28"/>
                <w:szCs w:val="28"/>
              </w:rPr>
              <w:t xml:space="preserve"> и</w:t>
            </w:r>
            <w:r w:rsidRPr="00CF34E7">
              <w:rPr>
                <w:rFonts w:eastAsia="Cambria"/>
                <w:sz w:val="28"/>
                <w:szCs w:val="28"/>
              </w:rPr>
              <w:t xml:space="preserve"> при проверката на Финансово-техническите отчети (ФТО) на крайните получатели на средства за недопускане на финансиране на дейности от забранените сектор</w:t>
            </w:r>
            <w:r w:rsidR="009C1B47" w:rsidRPr="00CF34E7">
              <w:rPr>
                <w:rFonts w:eastAsia="Cambria"/>
                <w:sz w:val="28"/>
                <w:szCs w:val="28"/>
              </w:rPr>
              <w:t xml:space="preserve">и по Регламент </w:t>
            </w:r>
            <w:r w:rsidR="009C1B47" w:rsidRPr="00C65BAA">
              <w:rPr>
                <w:rFonts w:eastAsia="Cambria"/>
                <w:sz w:val="28"/>
                <w:szCs w:val="28"/>
              </w:rPr>
              <w:t xml:space="preserve">(ЕС) </w:t>
            </w:r>
            <w:r w:rsidR="00630B65" w:rsidRPr="00C65BAA">
              <w:rPr>
                <w:rFonts w:eastAsia="Cambria"/>
                <w:sz w:val="28"/>
                <w:szCs w:val="28"/>
              </w:rPr>
              <w:t>2023/2831 на Комисията от 13 декември 2023 година относно прилагането на членове 107 и 108 от Договора за функционирането на Европейския съюз към помощта de minimis.</w:t>
            </w:r>
          </w:p>
        </w:tc>
      </w:tr>
    </w:tbl>
    <w:p w:rsidR="000578BC" w:rsidRPr="00CF34E7" w:rsidRDefault="00084D2E" w:rsidP="00CD1C33">
      <w:pPr>
        <w:pStyle w:val="Heading2"/>
        <w:numPr>
          <w:ilvl w:val="0"/>
          <w:numId w:val="0"/>
        </w:numPr>
        <w:ind w:left="709"/>
        <w:rPr>
          <w:rFonts w:ascii="Times New Roman" w:eastAsia="Cambria" w:hAnsi="Times New Roman" w:cs="Times New Roman"/>
          <w:color w:val="0070C0"/>
          <w:sz w:val="28"/>
          <w:szCs w:val="28"/>
          <w:lang w:val="bg-BG"/>
        </w:rPr>
      </w:pPr>
      <w:bookmarkStart w:id="13" w:name="_Toc151332345"/>
      <w:r w:rsidRPr="00CF34E7">
        <w:rPr>
          <w:rFonts w:ascii="Times New Roman" w:eastAsia="Cambria" w:hAnsi="Times New Roman" w:cs="Times New Roman"/>
          <w:color w:val="0070C0"/>
          <w:sz w:val="28"/>
          <w:szCs w:val="28"/>
          <w:lang w:val="bg-BG"/>
        </w:rPr>
        <w:lastRenderedPageBreak/>
        <w:t>Допустими категории дейности</w:t>
      </w:r>
      <w:bookmarkEnd w:id="13"/>
    </w:p>
    <w:tbl>
      <w:tblPr>
        <w:tblStyle w:val="afff8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51"/>
      </w:tblGrid>
      <w:tr w:rsidR="008F6B0C" w:rsidRPr="00CF34E7">
        <w:tc>
          <w:tcPr>
            <w:tcW w:w="9351" w:type="dxa"/>
          </w:tcPr>
          <w:p w:rsidR="000578BC" w:rsidRPr="00CF34E7" w:rsidRDefault="00084D2E" w:rsidP="0010450D">
            <w:pPr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В рамките на предложенията за изпълнение на инвестиции по настоящата процедура са допустими за финансиране следните дейности, свързани със създаване и разпространение на български продукции</w:t>
            </w:r>
            <w:r w:rsidR="005C61C8" w:rsidRPr="00CF34E7">
              <w:rPr>
                <w:rFonts w:eastAsia="Cambria"/>
                <w:sz w:val="28"/>
                <w:szCs w:val="28"/>
              </w:rPr>
              <w:t xml:space="preserve"> и копродукции в сектора на КТИ:</w:t>
            </w:r>
          </w:p>
          <w:p w:rsidR="00CC5EB0" w:rsidRPr="00CF34E7" w:rsidRDefault="00CC5EB0" w:rsidP="0010450D">
            <w:pPr>
              <w:pStyle w:val="ListParagraph"/>
              <w:numPr>
                <w:ilvl w:val="0"/>
                <w:numId w:val="15"/>
              </w:numPr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 xml:space="preserve">Създаване на един или повече </w:t>
            </w:r>
            <w:r w:rsidR="00F87F5C" w:rsidRPr="00CF34E7">
              <w:rPr>
                <w:rFonts w:eastAsia="Cambria"/>
                <w:sz w:val="28"/>
                <w:szCs w:val="28"/>
              </w:rPr>
              <w:t>нови</w:t>
            </w:r>
            <w:r w:rsidRPr="00CF34E7">
              <w:rPr>
                <w:rFonts w:eastAsia="Cambria"/>
                <w:sz w:val="28"/>
                <w:szCs w:val="28"/>
              </w:rPr>
              <w:t xml:space="preserve"> културни продукти (включително и нова комбинация от съществуващи такива, например фестивали) в областта на театъра, музиката, киното, аудиовизията, 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</w:t>
            </w:r>
            <w:r w:rsidR="00831FBC" w:rsidRPr="00CF34E7">
              <w:rPr>
                <w:rFonts w:eastAsia="Cambria"/>
                <w:sz w:val="28"/>
                <w:szCs w:val="28"/>
              </w:rPr>
              <w:t>;</w:t>
            </w:r>
          </w:p>
          <w:p w:rsidR="00CC5EB0" w:rsidRPr="00CF34E7" w:rsidRDefault="00CC5EB0" w:rsidP="0010450D">
            <w:pPr>
              <w:pStyle w:val="ListParagraph"/>
              <w:numPr>
                <w:ilvl w:val="0"/>
                <w:numId w:val="15"/>
              </w:numPr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Създаване на съпътстващи събития като ателиета, работилници, резиденции, семинари, пърформанси, критически дискусии, лекции, прожекции, инсталации и други;</w:t>
            </w:r>
          </w:p>
          <w:p w:rsidR="00CC5EB0" w:rsidRPr="00CF34E7" w:rsidRDefault="00CC5EB0" w:rsidP="0010450D">
            <w:pPr>
              <w:pStyle w:val="ListParagraph"/>
              <w:numPr>
                <w:ilvl w:val="0"/>
                <w:numId w:val="15"/>
              </w:numPr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Предпроектно проучване и анализ на количествени и качествени данни, свързани със създаването и разпространението на културния продукт от ПИИ по отношение укрепване на настоящи и развиване на нови публики;</w:t>
            </w:r>
          </w:p>
          <w:p w:rsidR="00CC5EB0" w:rsidRPr="00CF34E7" w:rsidRDefault="00CC5EB0" w:rsidP="0010450D">
            <w:pPr>
              <w:pStyle w:val="ListParagraph"/>
              <w:numPr>
                <w:ilvl w:val="0"/>
                <w:numId w:val="15"/>
              </w:numPr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 xml:space="preserve">Създаване на превод и субтитри, включително симултанен или консекутивен превод, свързан със създаването на културния/ните продукт/и от ПИИ; </w:t>
            </w:r>
          </w:p>
          <w:p w:rsidR="00CC5EB0" w:rsidRPr="00CF34E7" w:rsidRDefault="00CC5EB0" w:rsidP="0010450D">
            <w:pPr>
              <w:pStyle w:val="ListParagraph"/>
              <w:numPr>
                <w:ilvl w:val="0"/>
                <w:numId w:val="15"/>
              </w:numPr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lastRenderedPageBreak/>
              <w:t>Популяризир</w:t>
            </w:r>
            <w:r w:rsidR="00F73EBC" w:rsidRPr="00CF34E7">
              <w:rPr>
                <w:rFonts w:eastAsia="Cambria"/>
                <w:sz w:val="28"/>
                <w:szCs w:val="28"/>
              </w:rPr>
              <w:t>ане и разпространение на създа</w:t>
            </w:r>
            <w:r w:rsidRPr="00CF34E7">
              <w:rPr>
                <w:rFonts w:eastAsia="Cambria"/>
                <w:sz w:val="28"/>
                <w:szCs w:val="28"/>
              </w:rPr>
              <w:t xml:space="preserve">вания/ите в рамките на ПИИ културен/ни продукт/и; </w:t>
            </w:r>
          </w:p>
          <w:p w:rsidR="00CC5EB0" w:rsidRPr="00CF34E7" w:rsidRDefault="00CC5EB0" w:rsidP="0010450D">
            <w:pPr>
              <w:pStyle w:val="ListParagraph"/>
              <w:numPr>
                <w:ilvl w:val="0"/>
                <w:numId w:val="15"/>
              </w:numPr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 xml:space="preserve">Адаптация на създадения културен/ни продукт/и в нови формати за различни канали или неконвенционални локации и аудитории с цел разпространение на продукта/продуктите и достигане до нови публики и/или социално изолирани групи; </w:t>
            </w:r>
          </w:p>
          <w:p w:rsidR="00CC5EB0" w:rsidRPr="00CF34E7" w:rsidRDefault="00CC5EB0" w:rsidP="0010450D">
            <w:pPr>
              <w:pStyle w:val="ListParagraph"/>
              <w:numPr>
                <w:ilvl w:val="0"/>
                <w:numId w:val="15"/>
              </w:numPr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Създаване на дигитално съдържание за разширяване на достъпа до културния/ите продукт/и</w:t>
            </w:r>
            <w:r w:rsidR="002D5FCA" w:rsidRPr="00CF34E7">
              <w:rPr>
                <w:rFonts w:eastAsia="Cambria"/>
                <w:sz w:val="28"/>
                <w:szCs w:val="28"/>
              </w:rPr>
              <w:t xml:space="preserve"> </w:t>
            </w:r>
            <w:r w:rsidRPr="00CF34E7">
              <w:rPr>
                <w:rFonts w:eastAsia="Cambria"/>
                <w:sz w:val="28"/>
                <w:szCs w:val="28"/>
              </w:rPr>
              <w:t>(мобилни приложения, виртуални турове, дигитални изложби и други);</w:t>
            </w:r>
          </w:p>
          <w:p w:rsidR="00CC5EB0" w:rsidRPr="00CF34E7" w:rsidRDefault="00CC5EB0" w:rsidP="0010450D">
            <w:pPr>
              <w:pStyle w:val="ListParagraph"/>
              <w:numPr>
                <w:ilvl w:val="0"/>
                <w:numId w:val="15"/>
              </w:numPr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 xml:space="preserve">Създаване на </w:t>
            </w:r>
            <w:r w:rsidR="00F73EBC" w:rsidRPr="00CF34E7">
              <w:rPr>
                <w:rFonts w:eastAsia="Cambria"/>
                <w:sz w:val="28"/>
                <w:szCs w:val="28"/>
              </w:rPr>
              <w:t>децентрализ</w:t>
            </w:r>
            <w:r w:rsidR="000B1FEB" w:rsidRPr="00CF34E7">
              <w:rPr>
                <w:rFonts w:eastAsia="Cambria"/>
                <w:sz w:val="28"/>
                <w:szCs w:val="28"/>
              </w:rPr>
              <w:t xml:space="preserve">ирано </w:t>
            </w:r>
            <w:r w:rsidRPr="00CF34E7">
              <w:rPr>
                <w:rFonts w:eastAsia="Cambria"/>
                <w:sz w:val="28"/>
                <w:szCs w:val="28"/>
              </w:rPr>
              <w:t>културно съдържание (културен продукт и/или съпътстващи го дейности) извън градския културен център;</w:t>
            </w:r>
          </w:p>
          <w:p w:rsidR="000578BC" w:rsidRPr="00CF34E7" w:rsidRDefault="00CC5EB0" w:rsidP="0010450D">
            <w:pPr>
              <w:pStyle w:val="ListParagraph"/>
              <w:numPr>
                <w:ilvl w:val="0"/>
                <w:numId w:val="15"/>
              </w:numPr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Адаптация на културните продукти с цел достъп на лица с увреждания.</w:t>
            </w:r>
          </w:p>
          <w:p w:rsidR="00831FBC" w:rsidRPr="00CF34E7" w:rsidRDefault="00831FBC" w:rsidP="0010450D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:rsidR="00831FBC" w:rsidRPr="00CF34E7" w:rsidRDefault="00831FBC" w:rsidP="0010450D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ВАЖНО: Всяко ПИИ задължително трябва да включва изпълнение на дейност по т. 1</w:t>
            </w:r>
            <w:r w:rsidR="002B6607" w:rsidRPr="00CF34E7">
              <w:rPr>
                <w:sz w:val="28"/>
                <w:szCs w:val="28"/>
              </w:rPr>
              <w:t xml:space="preserve"> от допустимите дейности (по – горе).</w:t>
            </w:r>
          </w:p>
          <w:p w:rsidR="00831FBC" w:rsidRPr="00CF34E7" w:rsidRDefault="00831FBC" w:rsidP="0010450D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:rsidR="00951AC5" w:rsidRPr="00CF34E7" w:rsidRDefault="00951AC5" w:rsidP="0010450D">
            <w:pPr>
              <w:pStyle w:val="ListParagraph"/>
              <w:ind w:left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В рамките на предложенията за изпълнение на инвестиции по настоящата процедура не са допустими за финансиране дейности с неуредени права съгласно Закона за автор</w:t>
            </w:r>
            <w:r w:rsidR="009C1B47" w:rsidRPr="00CF34E7">
              <w:rPr>
                <w:sz w:val="28"/>
                <w:szCs w:val="28"/>
              </w:rPr>
              <w:t>ското право и сродните му права</w:t>
            </w:r>
          </w:p>
        </w:tc>
      </w:tr>
    </w:tbl>
    <w:p w:rsidR="000578BC" w:rsidRPr="00CF34E7" w:rsidRDefault="00084D2E" w:rsidP="00CD1C33">
      <w:pPr>
        <w:pStyle w:val="Heading2"/>
        <w:numPr>
          <w:ilvl w:val="0"/>
          <w:numId w:val="0"/>
        </w:numPr>
        <w:ind w:left="709"/>
        <w:rPr>
          <w:rFonts w:ascii="Times New Roman" w:eastAsia="Cambria" w:hAnsi="Times New Roman" w:cs="Times New Roman"/>
          <w:color w:val="0070C0"/>
          <w:sz w:val="28"/>
          <w:szCs w:val="28"/>
          <w:lang w:val="bg-BG"/>
        </w:rPr>
      </w:pPr>
      <w:bookmarkStart w:id="14" w:name="_Toc151332348"/>
      <w:r w:rsidRPr="00CF34E7">
        <w:rPr>
          <w:rFonts w:ascii="Times New Roman" w:eastAsia="Cambria" w:hAnsi="Times New Roman" w:cs="Times New Roman"/>
          <w:color w:val="0070C0"/>
          <w:sz w:val="28"/>
          <w:szCs w:val="28"/>
          <w:lang w:val="bg-BG"/>
        </w:rPr>
        <w:lastRenderedPageBreak/>
        <w:t>Условия за допустимост на разходите</w:t>
      </w:r>
      <w:bookmarkEnd w:id="14"/>
    </w:p>
    <w:tbl>
      <w:tblPr>
        <w:tblStyle w:val="afffa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51"/>
      </w:tblGrid>
      <w:tr w:rsidR="008F6B0C" w:rsidRPr="00CF34E7">
        <w:tc>
          <w:tcPr>
            <w:tcW w:w="9351" w:type="dxa"/>
          </w:tcPr>
          <w:p w:rsidR="00D17C25" w:rsidRPr="00CF34E7" w:rsidRDefault="00D17C25" w:rsidP="0010450D">
            <w:pPr>
              <w:jc w:val="both"/>
              <w:rPr>
                <w:color w:val="000000"/>
                <w:sz w:val="28"/>
                <w:szCs w:val="28"/>
                <w:lang w:eastAsia="bg-BG"/>
              </w:rPr>
            </w:pPr>
            <w:r w:rsidRPr="00CF34E7">
              <w:rPr>
                <w:sz w:val="28"/>
                <w:szCs w:val="28"/>
              </w:rPr>
              <w:t>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разходи.</w:t>
            </w:r>
          </w:p>
          <w:p w:rsidR="00D17C25" w:rsidRPr="00CF34E7" w:rsidRDefault="00D17C25" w:rsidP="0010450D">
            <w:pPr>
              <w:jc w:val="both"/>
              <w:rPr>
                <w:color w:val="000000"/>
                <w:sz w:val="28"/>
                <w:szCs w:val="28"/>
                <w:lang w:eastAsia="bg-BG"/>
              </w:rPr>
            </w:pPr>
            <w:r w:rsidRPr="00CF34E7">
              <w:rPr>
                <w:color w:val="000000"/>
                <w:sz w:val="28"/>
                <w:szCs w:val="28"/>
                <w:lang w:eastAsia="bg-BG"/>
              </w:rPr>
              <w:t xml:space="preserve">Допустими за финансиране по предложенията за изпълнение на инвестиции по настоящата процедура са разходите, които са съобразени с приложимите правила за предоставяне на минимална </w:t>
            </w:r>
            <w:r w:rsidRPr="009A685B">
              <w:rPr>
                <w:color w:val="000000"/>
                <w:sz w:val="28"/>
                <w:szCs w:val="28"/>
                <w:lang w:eastAsia="bg-BG"/>
              </w:rPr>
              <w:t xml:space="preserve">помощи – </w:t>
            </w:r>
            <w:r w:rsidR="00D45A40" w:rsidRPr="009A685B">
              <w:rPr>
                <w:color w:val="000000"/>
                <w:sz w:val="28"/>
                <w:szCs w:val="28"/>
                <w:lang w:eastAsia="bg-BG"/>
              </w:rPr>
              <w:t>Регламент (ЕС) 2023/2831 на Комисията от 13 декември 2023 година относно прилагането на членове 107 и 108 от Договора за функционирането на Европейския съюз към помощта de minimis</w:t>
            </w:r>
            <w:r w:rsidRPr="009A685B">
              <w:rPr>
                <w:color w:val="000000"/>
                <w:sz w:val="28"/>
                <w:szCs w:val="28"/>
                <w:lang w:eastAsia="bg-BG"/>
              </w:rPr>
              <w:t xml:space="preserve"> и отговарят едновременно на следните</w:t>
            </w:r>
            <w:r w:rsidRPr="00CF34E7">
              <w:rPr>
                <w:color w:val="000000"/>
                <w:sz w:val="28"/>
                <w:szCs w:val="28"/>
                <w:lang w:eastAsia="bg-BG"/>
              </w:rPr>
              <w:t xml:space="preserve"> условия:</w:t>
            </w:r>
          </w:p>
          <w:p w:rsidR="00D17C25" w:rsidRPr="00CF34E7" w:rsidRDefault="00D17C25" w:rsidP="0010450D">
            <w:pPr>
              <w:ind w:firstLine="456"/>
              <w:jc w:val="both"/>
              <w:rPr>
                <w:color w:val="000000" w:themeColor="text1"/>
                <w:sz w:val="28"/>
                <w:szCs w:val="28"/>
                <w:lang w:eastAsia="bg-BG"/>
              </w:rPr>
            </w:pPr>
            <w:r w:rsidRPr="00CF34E7">
              <w:rPr>
                <w:color w:val="000000"/>
                <w:sz w:val="28"/>
                <w:szCs w:val="28"/>
                <w:lang w:eastAsia="bg-BG"/>
              </w:rPr>
              <w:t>-    разходите попадат във включените в условията за кандидатстване по настоящата процедура, категории </w:t>
            </w:r>
            <w:r w:rsidRPr="00CF34E7">
              <w:rPr>
                <w:color w:val="000000" w:themeColor="text1"/>
                <w:sz w:val="28"/>
                <w:szCs w:val="28"/>
                <w:lang w:eastAsia="bg-BG"/>
              </w:rPr>
              <w:t xml:space="preserve">допустими разходи; </w:t>
            </w:r>
          </w:p>
          <w:p w:rsidR="00D17C25" w:rsidRPr="00CF34E7" w:rsidRDefault="00D17C25" w:rsidP="0010450D">
            <w:pPr>
              <w:ind w:firstLine="456"/>
              <w:jc w:val="both"/>
              <w:rPr>
                <w:color w:val="000000"/>
                <w:sz w:val="28"/>
                <w:szCs w:val="28"/>
                <w:lang w:eastAsia="bg-BG"/>
              </w:rPr>
            </w:pPr>
            <w:r w:rsidRPr="00CF34E7">
              <w:rPr>
                <w:color w:val="000000"/>
                <w:sz w:val="28"/>
                <w:szCs w:val="28"/>
                <w:lang w:eastAsia="bg-BG"/>
              </w:rPr>
              <w:t xml:space="preserve">-    разходите не попадат във включените в условията за кандидатстване </w:t>
            </w:r>
            <w:r w:rsidRPr="00CF34E7">
              <w:rPr>
                <w:color w:val="000000"/>
                <w:sz w:val="28"/>
                <w:szCs w:val="28"/>
                <w:lang w:eastAsia="bg-BG"/>
              </w:rPr>
              <w:lastRenderedPageBreak/>
              <w:t>по настоящата процедура не</w:t>
            </w:r>
            <w:r w:rsidRPr="00CF34E7">
              <w:rPr>
                <w:color w:val="000000" w:themeColor="text1"/>
                <w:sz w:val="28"/>
                <w:szCs w:val="28"/>
                <w:lang w:eastAsia="bg-BG"/>
              </w:rPr>
              <w:t>допустими разходи</w:t>
            </w:r>
            <w:r w:rsidRPr="00CF34E7">
              <w:rPr>
                <w:color w:val="000000"/>
                <w:sz w:val="28"/>
                <w:szCs w:val="28"/>
                <w:lang w:eastAsia="bg-BG"/>
              </w:rPr>
              <w:t>;</w:t>
            </w:r>
          </w:p>
          <w:p w:rsidR="00D17C25" w:rsidRPr="00CF34E7" w:rsidRDefault="00D17C25" w:rsidP="0010450D">
            <w:pPr>
              <w:ind w:firstLine="456"/>
              <w:jc w:val="both"/>
              <w:rPr>
                <w:color w:val="000000"/>
                <w:sz w:val="28"/>
                <w:szCs w:val="28"/>
                <w:lang w:eastAsia="bg-BG"/>
              </w:rPr>
            </w:pPr>
            <w:r w:rsidRPr="00CF34E7">
              <w:rPr>
                <w:color w:val="000000"/>
                <w:sz w:val="28"/>
                <w:szCs w:val="28"/>
                <w:lang w:eastAsia="bg-BG"/>
              </w:rPr>
              <w:t xml:space="preserve">- </w:t>
            </w:r>
            <w:r w:rsidRPr="00CF34E7">
              <w:rPr>
                <w:color w:val="000000" w:themeColor="text1"/>
                <w:sz w:val="28"/>
                <w:szCs w:val="28"/>
                <w:lang w:eastAsia="bg-BG"/>
              </w:rPr>
              <w:t xml:space="preserve">разходите са необходими за </w:t>
            </w:r>
            <w:r w:rsidRPr="00CF34E7">
              <w:rPr>
                <w:color w:val="000000"/>
                <w:sz w:val="28"/>
                <w:szCs w:val="28"/>
                <w:lang w:eastAsia="bg-BG"/>
              </w:rPr>
              <w:t xml:space="preserve">изпълнението на допустимите дейности в ПИИ и </w:t>
            </w:r>
            <w:r w:rsidRPr="00CF34E7">
              <w:rPr>
                <w:color w:val="000000" w:themeColor="text1"/>
                <w:sz w:val="28"/>
                <w:szCs w:val="28"/>
                <w:lang w:eastAsia="bg-BG"/>
              </w:rPr>
              <w:t xml:space="preserve">отговарят на принципите за добро финансово управление – икономичност, ефикасност и ефективност на вложените средства </w:t>
            </w:r>
            <w:r w:rsidRPr="00CF34E7">
              <w:rPr>
                <w:color w:val="000000"/>
                <w:sz w:val="28"/>
                <w:szCs w:val="28"/>
                <w:lang w:eastAsia="bg-BG"/>
              </w:rPr>
              <w:t>(всички разходи, включени в бюджета на ПИИ, са обосновани и съответстват на дейностите, предвидени за изпълнение);</w:t>
            </w:r>
          </w:p>
          <w:p w:rsidR="00D17C25" w:rsidRPr="00CF34E7" w:rsidRDefault="00D17C25" w:rsidP="0010450D">
            <w:pPr>
              <w:ind w:firstLine="456"/>
              <w:jc w:val="both"/>
              <w:rPr>
                <w:color w:val="000000"/>
                <w:sz w:val="28"/>
                <w:szCs w:val="28"/>
                <w:lang w:eastAsia="bg-BG"/>
              </w:rPr>
            </w:pPr>
            <w:r w:rsidRPr="00CF34E7">
              <w:rPr>
                <w:color w:val="000000"/>
                <w:sz w:val="28"/>
                <w:szCs w:val="28"/>
                <w:lang w:eastAsia="bg-BG"/>
              </w:rPr>
              <w:t>- разходите са извършени след датата на подаване на ПИИ и до датата на представяне на финалния отчет за изпълнение на дейностите по ПИИ;</w:t>
            </w:r>
          </w:p>
          <w:p w:rsidR="00D17C25" w:rsidRPr="00CF34E7" w:rsidRDefault="00D17C25" w:rsidP="0010450D">
            <w:pPr>
              <w:ind w:firstLine="456"/>
              <w:jc w:val="both"/>
              <w:rPr>
                <w:color w:val="000000"/>
                <w:sz w:val="28"/>
                <w:szCs w:val="28"/>
                <w:lang w:eastAsia="bg-BG"/>
              </w:rPr>
            </w:pPr>
            <w:r w:rsidRPr="00CF34E7">
              <w:rPr>
                <w:color w:val="000000"/>
                <w:sz w:val="28"/>
                <w:szCs w:val="28"/>
                <w:lang w:eastAsia="bg-BG"/>
              </w:rPr>
              <w:t xml:space="preserve">- разходите не са </w:t>
            </w:r>
            <w:r w:rsidR="00AB0F98">
              <w:rPr>
                <w:color w:val="000000"/>
                <w:sz w:val="28"/>
                <w:szCs w:val="28"/>
                <w:lang w:eastAsia="bg-BG"/>
              </w:rPr>
              <w:t>извършени преди подаване на ПИИ</w:t>
            </w:r>
            <w:r w:rsidRPr="00CF34E7">
              <w:rPr>
                <w:color w:val="000000"/>
                <w:sz w:val="28"/>
                <w:szCs w:val="28"/>
                <w:lang w:eastAsia="bg-BG"/>
              </w:rPr>
              <w:t>;</w:t>
            </w:r>
          </w:p>
          <w:p w:rsidR="00D17C25" w:rsidRDefault="00D17C25" w:rsidP="0010450D">
            <w:pPr>
              <w:ind w:firstLine="456"/>
              <w:jc w:val="both"/>
              <w:rPr>
                <w:color w:val="000000"/>
                <w:sz w:val="28"/>
                <w:szCs w:val="28"/>
                <w:lang w:eastAsia="bg-BG"/>
              </w:rPr>
            </w:pPr>
            <w:r w:rsidRPr="00CF34E7">
              <w:rPr>
                <w:color w:val="000000"/>
                <w:sz w:val="28"/>
                <w:szCs w:val="28"/>
                <w:lang w:eastAsia="bg-BG"/>
              </w:rPr>
              <w:t xml:space="preserve">- преките </w:t>
            </w:r>
            <w:r w:rsidRPr="00322F6E">
              <w:rPr>
                <w:color w:val="000000"/>
                <w:sz w:val="28"/>
                <w:szCs w:val="28"/>
                <w:lang w:eastAsia="bg-BG"/>
              </w:rPr>
              <w:t>разходи</w:t>
            </w:r>
            <w:r w:rsidR="00B273FE" w:rsidRPr="00322F6E">
              <w:rPr>
                <w:color w:val="000000"/>
                <w:sz w:val="28"/>
                <w:szCs w:val="28"/>
                <w:lang w:eastAsia="bg-BG"/>
              </w:rPr>
              <w:t>, за които е приложимо, са реални на пазара или</w:t>
            </w:r>
            <w:r w:rsidRPr="00322F6E">
              <w:rPr>
                <w:color w:val="000000"/>
                <w:sz w:val="28"/>
                <w:szCs w:val="28"/>
                <w:lang w:eastAsia="bg-BG"/>
              </w:rPr>
              <w:t xml:space="preserve"> са съпоставими с пазарните цени за аналогични такива или с нормативно признати размери, като за тях е представена </w:t>
            </w:r>
            <w:r w:rsidR="000D50E4" w:rsidRPr="00322F6E">
              <w:rPr>
                <w:color w:val="000000"/>
                <w:sz w:val="28"/>
                <w:szCs w:val="28"/>
                <w:lang w:eastAsia="bg-BG"/>
              </w:rPr>
              <w:t>информация за направените пазар</w:t>
            </w:r>
            <w:r w:rsidRPr="00322F6E">
              <w:rPr>
                <w:color w:val="000000"/>
                <w:sz w:val="28"/>
                <w:szCs w:val="28"/>
                <w:lang w:eastAsia="bg-BG"/>
              </w:rPr>
              <w:t>ни проучвания и/или получени реални оферти и/или</w:t>
            </w:r>
            <w:r w:rsidRPr="00CF34E7">
              <w:rPr>
                <w:color w:val="000000"/>
                <w:sz w:val="28"/>
                <w:szCs w:val="28"/>
                <w:lang w:eastAsia="bg-BG"/>
              </w:rPr>
              <w:t xml:space="preserve"> други документи с доказателствена стойност;</w:t>
            </w:r>
          </w:p>
          <w:p w:rsidR="002F20B6" w:rsidRPr="00CF34E7" w:rsidRDefault="00D17C25" w:rsidP="0010450D">
            <w:pPr>
              <w:ind w:firstLine="456"/>
              <w:jc w:val="both"/>
              <w:rPr>
                <w:color w:val="000000"/>
                <w:sz w:val="28"/>
                <w:szCs w:val="28"/>
                <w:lang w:eastAsia="bg-BG"/>
              </w:rPr>
            </w:pPr>
            <w:r w:rsidRPr="00CF34E7">
              <w:rPr>
                <w:color w:val="000000"/>
                <w:sz w:val="28"/>
                <w:szCs w:val="28"/>
                <w:lang w:eastAsia="bg-BG"/>
              </w:rPr>
              <w:t>- непреки разходи, включени в бюджета на ПИИ, не надхвърлят праговете/процентните съотношения за съответната категория, определени в условията за кандидатстване</w:t>
            </w:r>
            <w:r w:rsidR="002F20B6" w:rsidRPr="00CF34E7">
              <w:rPr>
                <w:color w:val="000000"/>
                <w:sz w:val="28"/>
                <w:szCs w:val="28"/>
                <w:lang w:eastAsia="bg-BG"/>
              </w:rPr>
              <w:t>.</w:t>
            </w:r>
          </w:p>
          <w:p w:rsidR="00D17C25" w:rsidRPr="00CF34E7" w:rsidRDefault="00D17C25" w:rsidP="0010450D">
            <w:pPr>
              <w:jc w:val="both"/>
              <w:rPr>
                <w:color w:val="000000"/>
                <w:sz w:val="28"/>
                <w:szCs w:val="28"/>
                <w:lang w:eastAsia="bg-BG"/>
              </w:rPr>
            </w:pPr>
            <w:r w:rsidRPr="00CF34E7">
              <w:rPr>
                <w:sz w:val="28"/>
                <w:szCs w:val="28"/>
              </w:rPr>
              <w:t xml:space="preserve">Оценителната комисия по чл. 10 от </w:t>
            </w:r>
            <w:r w:rsidRPr="00CF34E7">
              <w:rPr>
                <w:bCs/>
                <w:sz w:val="28"/>
                <w:szCs w:val="28"/>
              </w:rPr>
              <w:t>ПМС № 114 от 8.06.2022 г.,</w:t>
            </w:r>
            <w:r w:rsidRPr="00CF34E7">
              <w:rPr>
                <w:sz w:val="28"/>
                <w:szCs w:val="28"/>
              </w:rPr>
              <w:t xml:space="preserve"> извършва оценка на допустимостта, реалистичността и ефективността на всички предвидени разходи, в съответствие с направената от кандидата обосновка на дейностите и разходите и приложената информация за н</w:t>
            </w:r>
            <w:r w:rsidR="00C77323" w:rsidRPr="00CF34E7">
              <w:rPr>
                <w:sz w:val="28"/>
                <w:szCs w:val="28"/>
              </w:rPr>
              <w:t>аправените пазар</w:t>
            </w:r>
            <w:r w:rsidR="00F92C07" w:rsidRPr="00CF34E7">
              <w:rPr>
                <w:sz w:val="28"/>
                <w:szCs w:val="28"/>
              </w:rPr>
              <w:t>ни проучвания</w:t>
            </w:r>
            <w:r w:rsidRPr="00CF34E7">
              <w:rPr>
                <w:sz w:val="28"/>
                <w:szCs w:val="28"/>
              </w:rPr>
              <w:t>, получени реални оферти и други документи</w:t>
            </w:r>
            <w:r w:rsidR="0099428C">
              <w:rPr>
                <w:sz w:val="28"/>
                <w:szCs w:val="28"/>
              </w:rPr>
              <w:t xml:space="preserve"> </w:t>
            </w:r>
            <w:r w:rsidR="0099428C" w:rsidRPr="00322F6E">
              <w:rPr>
                <w:sz w:val="28"/>
                <w:szCs w:val="28"/>
              </w:rPr>
              <w:t>с доказателствена стойност</w:t>
            </w:r>
            <w:r w:rsidRPr="00322F6E">
              <w:rPr>
                <w:sz w:val="28"/>
                <w:szCs w:val="28"/>
              </w:rPr>
              <w:t>.</w:t>
            </w:r>
          </w:p>
          <w:p w:rsidR="00D17C25" w:rsidRPr="00CF34E7" w:rsidRDefault="00D17C25" w:rsidP="0010450D">
            <w:pPr>
              <w:pStyle w:val="ListParagraph"/>
              <w:ind w:left="0"/>
              <w:jc w:val="both"/>
              <w:rPr>
                <w:color w:val="000000"/>
                <w:sz w:val="28"/>
                <w:szCs w:val="28"/>
                <w:lang w:eastAsia="bg-BG"/>
              </w:rPr>
            </w:pPr>
            <w:r w:rsidRPr="00CF34E7">
              <w:rPr>
                <w:color w:val="000000"/>
                <w:sz w:val="28"/>
                <w:szCs w:val="28"/>
                <w:lang w:eastAsia="bg-BG"/>
              </w:rPr>
              <w:t>Бюджетът във Формуляра за кандидатстване трябва да отразява допустимите разходи, които са свързани с изпълнението на ПИИ. Бюджетът представлява предварителна оценка на очакваните разходи и максимален размер на допустимите разходи.</w:t>
            </w:r>
          </w:p>
          <w:p w:rsidR="00D17C25" w:rsidRPr="00CF34E7" w:rsidRDefault="00D17C25" w:rsidP="0010450D">
            <w:pPr>
              <w:pStyle w:val="ListParagraph"/>
              <w:ind w:left="0"/>
              <w:jc w:val="both"/>
              <w:rPr>
                <w:color w:val="000000"/>
                <w:sz w:val="28"/>
                <w:szCs w:val="28"/>
                <w:lang w:eastAsia="bg-BG"/>
              </w:rPr>
            </w:pPr>
            <w:r w:rsidRPr="00CF34E7">
              <w:rPr>
                <w:color w:val="000000"/>
                <w:sz w:val="28"/>
                <w:szCs w:val="28"/>
                <w:lang w:eastAsia="bg-BG"/>
              </w:rPr>
              <w:t>По настоящата процедура са недопустими разходите за възстановим ДДС във връзка с реализирането на ПИИ. За всички кандидати, за които ДДС е „невъзстановим“, същият се счита за допустим за финансиране и може да бъде включен в общата стойност на допустимите разходи в т. „Бюджет“ на Формуляра за кандидатстване.</w:t>
            </w:r>
          </w:p>
          <w:p w:rsidR="00D17C25" w:rsidRPr="00CF34E7" w:rsidRDefault="00D17C25" w:rsidP="0010450D">
            <w:pPr>
              <w:pStyle w:val="ListParagraph"/>
              <w:ind w:left="0"/>
              <w:jc w:val="both"/>
              <w:rPr>
                <w:b/>
                <w:color w:val="000000"/>
                <w:sz w:val="28"/>
                <w:szCs w:val="28"/>
                <w:lang w:eastAsia="bg-BG"/>
              </w:rPr>
            </w:pPr>
            <w:r w:rsidRPr="00CF34E7">
              <w:rPr>
                <w:color w:val="000000"/>
                <w:sz w:val="28"/>
                <w:szCs w:val="28"/>
                <w:lang w:eastAsia="bg-BG"/>
              </w:rPr>
              <w:t xml:space="preserve">Във връзка със спазването на принципа за недопускане под никаква форма </w:t>
            </w:r>
            <w:r w:rsidRPr="00CF34E7">
              <w:rPr>
                <w:color w:val="000000"/>
                <w:sz w:val="28"/>
                <w:szCs w:val="28"/>
                <w:lang w:eastAsia="bg-BG"/>
              </w:rPr>
              <w:lastRenderedPageBreak/>
              <w:t xml:space="preserve">на реализиране на печалба от безвъзмездните финансови средства, печалбата подлежи на </w:t>
            </w:r>
            <w:r w:rsidRPr="00224ADF">
              <w:rPr>
                <w:color w:val="000000"/>
                <w:sz w:val="28"/>
                <w:szCs w:val="28"/>
                <w:lang w:eastAsia="bg-BG"/>
              </w:rPr>
              <w:t>възстановяване.</w:t>
            </w:r>
            <w:r w:rsidR="002E522C" w:rsidRPr="00224ADF">
              <w:rPr>
                <w:color w:val="000000"/>
                <w:sz w:val="28"/>
                <w:szCs w:val="28"/>
                <w:lang w:eastAsia="bg-BG"/>
              </w:rPr>
              <w:t xml:space="preserve"> </w:t>
            </w:r>
            <w:r w:rsidR="008D7535" w:rsidRPr="00224ADF">
              <w:rPr>
                <w:color w:val="000000"/>
                <w:sz w:val="28"/>
                <w:szCs w:val="28"/>
                <w:lang w:eastAsia="bg-BG"/>
              </w:rPr>
              <w:t>Правилото не се отнася за ПИИ попадащи в изключенията съгласно чл. 192, параграф 3 от Регламент (ЕС) № 2018/1046 г.</w:t>
            </w:r>
          </w:p>
          <w:p w:rsidR="000578BC" w:rsidRPr="00CF34E7" w:rsidRDefault="00D17C25" w:rsidP="00F92C07">
            <w:pPr>
              <w:jc w:val="both"/>
              <w:rPr>
                <w:rFonts w:eastAsia="Cambria"/>
                <w:color w:val="0070C0"/>
                <w:sz w:val="28"/>
                <w:szCs w:val="28"/>
              </w:rPr>
            </w:pPr>
            <w:r w:rsidRPr="00CF34E7">
              <w:rPr>
                <w:color w:val="000000"/>
                <w:sz w:val="28"/>
                <w:szCs w:val="28"/>
                <w:lang w:eastAsia="bg-BG"/>
              </w:rPr>
              <w:t>В съответствие с чл. 192, пар. 2 от Регламент (ЕС, ЕВРАТОМ) № 2018/1046 г. печалбата се определя като надвишаването на постъпленията спрямо допустимите разходи</w:t>
            </w:r>
            <w:r w:rsidR="000B1FEB" w:rsidRPr="00CF34E7">
              <w:rPr>
                <w:color w:val="000000"/>
                <w:sz w:val="28"/>
                <w:szCs w:val="28"/>
                <w:lang w:eastAsia="bg-BG"/>
              </w:rPr>
              <w:t>,</w:t>
            </w:r>
            <w:r w:rsidRPr="00CF34E7">
              <w:rPr>
                <w:color w:val="000000"/>
                <w:sz w:val="28"/>
                <w:szCs w:val="28"/>
                <w:lang w:eastAsia="bg-BG"/>
              </w:rPr>
              <w:t xml:space="preserve"> направени от бенефициента по съответния проект в момента на предявяване на искане за окончателно плащане на отпусната по проекта безвъзмездна помощ. Посочените постъпления се ограничават до прихода, генериран от дейностите по проекта.</w:t>
            </w:r>
            <w:r w:rsidR="006F3AAA" w:rsidRPr="00CF34E7">
              <w:rPr>
                <w:color w:val="000000"/>
                <w:sz w:val="28"/>
                <w:szCs w:val="28"/>
                <w:lang w:eastAsia="bg-BG"/>
              </w:rPr>
              <w:t xml:space="preserve">                         </w:t>
            </w:r>
            <w:r w:rsidRPr="00CF34E7">
              <w:rPr>
                <w:color w:val="000000"/>
                <w:sz w:val="28"/>
                <w:szCs w:val="28"/>
                <w:lang w:eastAsia="bg-BG"/>
              </w:rPr>
              <w:t> </w:t>
            </w:r>
            <w:r w:rsidRPr="00CF34E7">
              <w:rPr>
                <w:color w:val="000000"/>
                <w:sz w:val="28"/>
                <w:szCs w:val="28"/>
                <w:lang w:eastAsia="bg-BG"/>
              </w:rPr>
              <w:br/>
              <w:t xml:space="preserve">*Недопустимите разходи се поемат изцяло от </w:t>
            </w:r>
            <w:r w:rsidR="00F92C07" w:rsidRPr="00CF34E7">
              <w:rPr>
                <w:color w:val="000000"/>
                <w:sz w:val="28"/>
                <w:szCs w:val="28"/>
                <w:lang w:eastAsia="bg-BG"/>
              </w:rPr>
              <w:t>кандидата</w:t>
            </w:r>
            <w:r w:rsidRPr="00CF34E7">
              <w:rPr>
                <w:color w:val="000000"/>
                <w:sz w:val="28"/>
                <w:szCs w:val="28"/>
                <w:lang w:eastAsia="bg-BG"/>
              </w:rPr>
              <w:t>.   </w:t>
            </w:r>
            <w:r w:rsidRPr="00CF34E7">
              <w:rPr>
                <w:color w:val="000000"/>
                <w:sz w:val="28"/>
                <w:szCs w:val="28"/>
                <w:lang w:eastAsia="bg-BG"/>
              </w:rPr>
              <w:br/>
              <w:t xml:space="preserve">*Максималният интензитет на държавното подпомагане  е до </w:t>
            </w:r>
            <w:r w:rsidR="006F3AAA" w:rsidRPr="00CF34E7">
              <w:rPr>
                <w:color w:val="000000"/>
                <w:sz w:val="28"/>
                <w:szCs w:val="28"/>
                <w:lang w:eastAsia="bg-BG"/>
              </w:rPr>
              <w:t>9</w:t>
            </w:r>
            <w:r w:rsidR="009C1B47" w:rsidRPr="00CF34E7">
              <w:rPr>
                <w:color w:val="000000"/>
                <w:sz w:val="28"/>
                <w:szCs w:val="28"/>
                <w:lang w:eastAsia="bg-BG"/>
              </w:rPr>
              <w:t>0 на сто от допустимите разходи</w:t>
            </w:r>
          </w:p>
        </w:tc>
      </w:tr>
    </w:tbl>
    <w:p w:rsidR="00B657B4" w:rsidRPr="00CF34E7" w:rsidRDefault="00B657B4" w:rsidP="00CD1C33">
      <w:pPr>
        <w:pStyle w:val="Heading2"/>
        <w:numPr>
          <w:ilvl w:val="0"/>
          <w:numId w:val="0"/>
        </w:numPr>
        <w:ind w:left="709"/>
        <w:rPr>
          <w:rFonts w:ascii="Times New Roman" w:eastAsia="Cambria" w:hAnsi="Times New Roman" w:cs="Times New Roman"/>
          <w:color w:val="0070C0"/>
          <w:sz w:val="28"/>
          <w:szCs w:val="28"/>
          <w:lang w:val="bg-BG"/>
        </w:rPr>
      </w:pPr>
      <w:bookmarkStart w:id="15" w:name="_Toc151332349"/>
      <w:r w:rsidRPr="00CF34E7">
        <w:rPr>
          <w:rFonts w:ascii="Times New Roman" w:eastAsia="Cambria" w:hAnsi="Times New Roman" w:cs="Times New Roman"/>
          <w:color w:val="0070C0"/>
          <w:sz w:val="28"/>
          <w:szCs w:val="28"/>
          <w:lang w:val="bg-BG"/>
        </w:rPr>
        <w:lastRenderedPageBreak/>
        <w:t>Допустими категории разходи</w:t>
      </w:r>
      <w:bookmarkEnd w:id="15"/>
    </w:p>
    <w:tbl>
      <w:tblPr>
        <w:tblStyle w:val="afffb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51"/>
      </w:tblGrid>
      <w:tr w:rsidR="00B657B4" w:rsidRPr="00CF34E7" w:rsidTr="00201BF2">
        <w:tc>
          <w:tcPr>
            <w:tcW w:w="9351" w:type="dxa"/>
          </w:tcPr>
          <w:p w:rsidR="00B657B4" w:rsidRPr="00CF34E7" w:rsidRDefault="00B657B4" w:rsidP="00F90AAC">
            <w:pPr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Допустими за финансиране са следните категории разходи, обособени</w:t>
            </w:r>
            <w:r w:rsidR="009C1B47" w:rsidRPr="00CF34E7">
              <w:rPr>
                <w:rFonts w:eastAsia="Cambria"/>
                <w:sz w:val="28"/>
                <w:szCs w:val="28"/>
              </w:rPr>
              <w:t xml:space="preserve"> в две групи – преки и непреки</w:t>
            </w:r>
          </w:p>
          <w:p w:rsidR="00B657B4" w:rsidRPr="00CF34E7" w:rsidRDefault="00B657B4" w:rsidP="00F90AAC">
            <w:pPr>
              <w:jc w:val="both"/>
              <w:rPr>
                <w:rFonts w:eastAsia="Cambria"/>
                <w:b/>
                <w:sz w:val="28"/>
                <w:szCs w:val="28"/>
              </w:rPr>
            </w:pPr>
            <w:r w:rsidRPr="00CF34E7">
              <w:rPr>
                <w:rFonts w:eastAsia="Cambria"/>
                <w:b/>
                <w:sz w:val="28"/>
                <w:szCs w:val="28"/>
              </w:rPr>
              <w:t>I. ПРЕКИ РАЗХОДИ</w:t>
            </w:r>
          </w:p>
          <w:p w:rsidR="00B657B4" w:rsidRPr="00CF34E7" w:rsidRDefault="00B657B4" w:rsidP="00F90AAC">
            <w:pPr>
              <w:tabs>
                <w:tab w:val="left" w:pos="453"/>
                <w:tab w:val="left" w:pos="882"/>
              </w:tabs>
              <w:spacing w:after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„Преки разходи“ са разходите, които се извършват в изпълнение на допустимите дейности, предвидени в ПИИ на крайния получател и пряко допринасят за постигането на целите  и резултатите по проекта.</w:t>
            </w:r>
          </w:p>
          <w:p w:rsidR="00B657B4" w:rsidRPr="00CF34E7" w:rsidRDefault="00B657B4" w:rsidP="00F90AAC">
            <w:pPr>
              <w:tabs>
                <w:tab w:val="left" w:pos="453"/>
                <w:tab w:val="left" w:pos="882"/>
              </w:tabs>
              <w:jc w:val="both"/>
              <w:rPr>
                <w:rFonts w:eastAsia="Cambria"/>
                <w:b/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В рамките на настоящата процедура са допустими следните категории преки разходи:</w:t>
            </w:r>
          </w:p>
          <w:p w:rsidR="00390383" w:rsidRPr="00CF34E7" w:rsidRDefault="00390383" w:rsidP="00F90AAC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CF34E7">
              <w:rPr>
                <w:b/>
                <w:sz w:val="28"/>
                <w:szCs w:val="28"/>
                <w:u w:val="single"/>
              </w:rPr>
              <w:t>Разходи за персонал</w:t>
            </w:r>
          </w:p>
          <w:p w:rsidR="00D96A7E" w:rsidRPr="00224ADF" w:rsidRDefault="00390383" w:rsidP="00D96A7E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 xml:space="preserve">Възнаграждения за творчески и технически екип, вкл. разходи за осигурителни и здравни вноски за сметка на работодателя, пряко свързани с реализацията на ПИИ. Срокът на сключените договори с екипа трябва да съвпада със срока на изпълнение на ПИИ, а договорът да бъде с предмет, </w:t>
            </w:r>
            <w:r w:rsidRPr="00224ADF">
              <w:rPr>
                <w:sz w:val="28"/>
                <w:szCs w:val="28"/>
              </w:rPr>
              <w:t>съответстващ на конкретната роля на лицето в ПИИ;</w:t>
            </w:r>
          </w:p>
          <w:p w:rsidR="00390383" w:rsidRPr="00224ADF" w:rsidRDefault="00D96A7E" w:rsidP="00D96A7E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24ADF">
              <w:rPr>
                <w:sz w:val="28"/>
                <w:szCs w:val="28"/>
              </w:rPr>
              <w:t>Разходи за ко</w:t>
            </w:r>
            <w:r w:rsidR="00882A9F" w:rsidRPr="00224ADF">
              <w:rPr>
                <w:sz w:val="28"/>
                <w:szCs w:val="28"/>
              </w:rPr>
              <w:t>мандировки на участниците в проект</w:t>
            </w:r>
            <w:r w:rsidRPr="00224ADF">
              <w:rPr>
                <w:sz w:val="28"/>
                <w:szCs w:val="28"/>
              </w:rPr>
              <w:t>а - транспорт, дневни и нощувки</w:t>
            </w:r>
            <w:r w:rsidR="00882A9F" w:rsidRPr="00224ADF">
              <w:rPr>
                <w:sz w:val="28"/>
                <w:szCs w:val="28"/>
              </w:rPr>
              <w:t>;</w:t>
            </w:r>
          </w:p>
          <w:p w:rsidR="00390383" w:rsidRPr="00CF34E7" w:rsidRDefault="00390383" w:rsidP="00F90AAC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За покриване на разходите на командированите лица в страната размерите са определени в Наредба за командировките в страната;</w:t>
            </w:r>
          </w:p>
          <w:p w:rsidR="00390383" w:rsidRPr="00CF34E7" w:rsidRDefault="00390383" w:rsidP="00F90AAC">
            <w:pPr>
              <w:pStyle w:val="ListParagraph"/>
              <w:numPr>
                <w:ilvl w:val="1"/>
                <w:numId w:val="28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lastRenderedPageBreak/>
              <w:t xml:space="preserve">По отношение на транспорта и/или пътните разходи, когато се осъществяват на принципа на групово пътуване, се приемат разходи за споделен транспорт (напр. наем на микробус, автобус, лек автомобил, разходите за гориво); </w:t>
            </w:r>
          </w:p>
          <w:p w:rsidR="00390383" w:rsidRPr="00CF34E7" w:rsidRDefault="00390383" w:rsidP="00F90AAC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:rsidR="00390383" w:rsidRPr="00CF34E7" w:rsidRDefault="00390383" w:rsidP="00F90AAC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CF34E7">
              <w:rPr>
                <w:b/>
                <w:sz w:val="28"/>
                <w:szCs w:val="28"/>
                <w:u w:val="single"/>
              </w:rPr>
              <w:t>Разходи за материали, консумативи и дълготрайни активи</w:t>
            </w:r>
          </w:p>
          <w:p w:rsidR="00390383" w:rsidRPr="00CF34E7" w:rsidRDefault="00390383" w:rsidP="00F90AAC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hanging="11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>За материали и консумативи, необходими за създаването и разпространението на културния/те продукт/и.</w:t>
            </w:r>
          </w:p>
          <w:p w:rsidR="00390383" w:rsidRPr="00CF34E7" w:rsidRDefault="00390383" w:rsidP="00F90AAC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hanging="11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>Разходи за закупуване на дълготрайни материални активи</w:t>
            </w:r>
            <w:r w:rsidR="008F190A" w:rsidRPr="00CF34E7">
              <w:rPr>
                <w:rStyle w:val="FootnoteReference"/>
                <w:bCs/>
                <w:sz w:val="28"/>
                <w:szCs w:val="28"/>
              </w:rPr>
              <w:footnoteReference w:id="4"/>
            </w:r>
            <w:r w:rsidRPr="00CF34E7">
              <w:rPr>
                <w:bCs/>
                <w:sz w:val="28"/>
                <w:szCs w:val="28"/>
              </w:rPr>
              <w:t>, свързани със създаване и/или представяне на културния/те продукт/и.</w:t>
            </w:r>
          </w:p>
          <w:p w:rsidR="00390383" w:rsidRPr="00CF34E7" w:rsidRDefault="00390383" w:rsidP="00F90AAC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0" w:hanging="11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>Разходи за дълготрайни нематериални активи</w:t>
            </w:r>
            <w:r w:rsidR="008F190A" w:rsidRPr="00CF34E7">
              <w:rPr>
                <w:rStyle w:val="FootnoteReference"/>
                <w:bCs/>
                <w:sz w:val="28"/>
                <w:szCs w:val="28"/>
              </w:rPr>
              <w:footnoteReference w:id="5"/>
            </w:r>
            <w:r w:rsidRPr="00CF34E7">
              <w:rPr>
                <w:bCs/>
                <w:sz w:val="28"/>
                <w:szCs w:val="28"/>
              </w:rPr>
              <w:t xml:space="preserve"> като софтуер и/или покупка на лиценз за софтуер, свързани със създаване и/или представяне на културния/те продукт/и. </w:t>
            </w:r>
          </w:p>
          <w:p w:rsidR="00390383" w:rsidRPr="00CF34E7" w:rsidRDefault="00390383" w:rsidP="00F90AAC">
            <w:pPr>
              <w:pStyle w:val="ListParagraph"/>
              <w:ind w:left="0"/>
              <w:jc w:val="both"/>
              <w:rPr>
                <w:bCs/>
                <w:sz w:val="28"/>
                <w:szCs w:val="28"/>
              </w:rPr>
            </w:pPr>
          </w:p>
          <w:p w:rsidR="00390383" w:rsidRPr="00CF34E7" w:rsidRDefault="009642CA" w:rsidP="00F90AAC">
            <w:pPr>
              <w:pStyle w:val="ListParagraph"/>
              <w:ind w:left="0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sz w:val="28"/>
                <w:szCs w:val="28"/>
                <w:lang/>
              </w:rPr>
              <w:t xml:space="preserve">ВАЖНО: </w:t>
            </w:r>
            <w:r w:rsidR="00390383" w:rsidRPr="00CF34E7">
              <w:rPr>
                <w:bCs/>
                <w:sz w:val="28"/>
                <w:szCs w:val="28"/>
              </w:rPr>
              <w:t xml:space="preserve">Разходите за дълготрайни материални активи и </w:t>
            </w:r>
            <w:r w:rsidR="00D0365C" w:rsidRPr="00CF34E7">
              <w:rPr>
                <w:bCs/>
                <w:sz w:val="28"/>
                <w:szCs w:val="28"/>
              </w:rPr>
              <w:t>дълготрайни нематериални активи</w:t>
            </w:r>
            <w:r w:rsidR="00390383" w:rsidRPr="00CF34E7">
              <w:rPr>
                <w:bCs/>
                <w:sz w:val="28"/>
                <w:szCs w:val="28"/>
              </w:rPr>
              <w:t xml:space="preserve"> следва да не превишават </w:t>
            </w:r>
            <w:r w:rsidR="00F90AAC" w:rsidRPr="00CF34E7">
              <w:rPr>
                <w:bCs/>
                <w:sz w:val="28"/>
                <w:szCs w:val="28"/>
              </w:rPr>
              <w:t>30</w:t>
            </w:r>
            <w:r w:rsidR="0007060A" w:rsidRPr="00893F8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90383" w:rsidRPr="00CF34E7">
              <w:rPr>
                <w:bCs/>
                <w:sz w:val="28"/>
                <w:szCs w:val="28"/>
              </w:rPr>
              <w:t xml:space="preserve">% от </w:t>
            </w:r>
            <w:r w:rsidR="009D78F8" w:rsidRPr="00224ADF">
              <w:rPr>
                <w:bCs/>
                <w:sz w:val="28"/>
                <w:szCs w:val="28"/>
              </w:rPr>
              <w:t>преките</w:t>
            </w:r>
            <w:r w:rsidR="00390383" w:rsidRPr="00CF34E7">
              <w:rPr>
                <w:bCs/>
                <w:sz w:val="28"/>
                <w:szCs w:val="28"/>
              </w:rPr>
              <w:t xml:space="preserve"> допустими разходи по проекта.</w:t>
            </w:r>
          </w:p>
          <w:p w:rsidR="00362570" w:rsidRPr="00CF34E7" w:rsidRDefault="00362570" w:rsidP="00F90AAC">
            <w:pPr>
              <w:pStyle w:val="ListParagraph"/>
              <w:ind w:left="0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>ПИИ</w:t>
            </w:r>
            <w:r w:rsidR="00795BB4" w:rsidRPr="00CF34E7">
              <w:rPr>
                <w:bCs/>
                <w:sz w:val="28"/>
                <w:szCs w:val="28"/>
              </w:rPr>
              <w:t xml:space="preserve"> не може да включва само р</w:t>
            </w:r>
            <w:r w:rsidRPr="00CF34E7">
              <w:rPr>
                <w:bCs/>
                <w:sz w:val="28"/>
                <w:szCs w:val="28"/>
              </w:rPr>
              <w:t xml:space="preserve">азходи за материали, консумативи и дълготрайни </w:t>
            </w:r>
            <w:r w:rsidRPr="00224ADF">
              <w:rPr>
                <w:bCs/>
                <w:sz w:val="28"/>
                <w:szCs w:val="28"/>
              </w:rPr>
              <w:t>активи</w:t>
            </w:r>
            <w:r w:rsidR="00460310" w:rsidRPr="00224ADF">
              <w:t xml:space="preserve"> </w:t>
            </w:r>
            <w:r w:rsidR="00460310" w:rsidRPr="00224ADF">
              <w:rPr>
                <w:bCs/>
                <w:sz w:val="28"/>
                <w:szCs w:val="28"/>
              </w:rPr>
              <w:t>в частта на Преките разходи</w:t>
            </w:r>
            <w:r w:rsidRPr="00CF34E7">
              <w:rPr>
                <w:bCs/>
                <w:sz w:val="28"/>
                <w:szCs w:val="28"/>
              </w:rPr>
              <w:t xml:space="preserve">. Недопустимо за финансиране е ПИИ, в което вследствие на </w:t>
            </w:r>
            <w:r w:rsidR="00C07561" w:rsidRPr="00CF34E7">
              <w:rPr>
                <w:bCs/>
                <w:sz w:val="28"/>
                <w:szCs w:val="28"/>
              </w:rPr>
              <w:t xml:space="preserve">служебно извършвани </w:t>
            </w:r>
            <w:r w:rsidRPr="00CF34E7">
              <w:rPr>
                <w:bCs/>
                <w:sz w:val="28"/>
                <w:szCs w:val="28"/>
              </w:rPr>
              <w:t>корекции в бюджета останат само разходи за материали, консумативи и дълготрайни активи.</w:t>
            </w:r>
          </w:p>
          <w:p w:rsidR="00A82911" w:rsidRPr="00CF34E7" w:rsidRDefault="00F362C5" w:rsidP="00F90AAC">
            <w:pPr>
              <w:pStyle w:val="ListParagraph"/>
              <w:ind w:left="0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>Закупените по финансирано ПИИ дълготрайни материални активи и дълготрайни нематериални активи следва да се ползват/поддържат/да останат собственост на КП най-малко 1 (една) година от окончателното плащане. Посоченото изискване ще бъде проверявано чрез извършване на проверки на място и/или изискване на документи за установяване на това обстоятелство.</w:t>
            </w:r>
            <w:r w:rsidR="00A82911" w:rsidRPr="00CF34E7">
              <w:rPr>
                <w:bCs/>
                <w:sz w:val="28"/>
                <w:szCs w:val="28"/>
              </w:rPr>
              <w:t xml:space="preserve"> В тази връзка</w:t>
            </w:r>
            <w:r w:rsidRPr="00CF34E7">
              <w:rPr>
                <w:bCs/>
                <w:sz w:val="28"/>
                <w:szCs w:val="28"/>
              </w:rPr>
              <w:t xml:space="preserve">, кандидатите следва да имат предвид </w:t>
            </w:r>
            <w:r w:rsidRPr="00CF34E7">
              <w:rPr>
                <w:bCs/>
                <w:sz w:val="28"/>
                <w:szCs w:val="28"/>
              </w:rPr>
              <w:lastRenderedPageBreak/>
              <w:t xml:space="preserve">задължението да осигуряват постоянен достъп до мястото/местата, където ще се </w:t>
            </w:r>
            <w:r w:rsidR="00A82911" w:rsidRPr="00CF34E7">
              <w:rPr>
                <w:bCs/>
                <w:sz w:val="28"/>
                <w:szCs w:val="28"/>
              </w:rPr>
              <w:t>съхраняват финансираните дълготрайни материални активи</w:t>
            </w:r>
            <w:r w:rsidRPr="00CF34E7">
              <w:rPr>
                <w:bCs/>
                <w:sz w:val="28"/>
                <w:szCs w:val="28"/>
              </w:rPr>
              <w:t xml:space="preserve">, в това число и достъп до </w:t>
            </w:r>
            <w:r w:rsidR="00A82911" w:rsidRPr="00CF34E7">
              <w:rPr>
                <w:bCs/>
                <w:sz w:val="28"/>
                <w:szCs w:val="28"/>
              </w:rPr>
              <w:t>финансирания софтуер</w:t>
            </w:r>
            <w:r w:rsidRPr="00CF34E7">
              <w:rPr>
                <w:bCs/>
                <w:sz w:val="28"/>
                <w:szCs w:val="28"/>
              </w:rPr>
              <w:t xml:space="preserve">, както и до всички документи и бази данни, свързани с финансово-техническото управление на </w:t>
            </w:r>
            <w:r w:rsidR="00A82911" w:rsidRPr="00CF34E7">
              <w:rPr>
                <w:bCs/>
                <w:sz w:val="28"/>
                <w:szCs w:val="28"/>
              </w:rPr>
              <w:t>ПИИ.</w:t>
            </w:r>
          </w:p>
          <w:p w:rsidR="00F362C5" w:rsidRPr="00CF34E7" w:rsidRDefault="00A82911" w:rsidP="00F90AAC">
            <w:pPr>
              <w:pStyle w:val="ListParagraph"/>
              <w:ind w:left="0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>Дълготрайни материални активи и дълготрайни нематериални активи</w:t>
            </w:r>
            <w:r w:rsidR="00F362C5" w:rsidRPr="00CF34E7">
              <w:rPr>
                <w:bCs/>
                <w:sz w:val="28"/>
                <w:szCs w:val="28"/>
              </w:rPr>
              <w:t xml:space="preserve"> следва да бъдат закупени при пазарни условия от трети страни, несвързани с купувача, и да бъдат заприходени от предприятието, получаващо помощта, съгласно приложимите счетоводни стандарти, както и да останат свързани с </w:t>
            </w:r>
            <w:r w:rsidR="00230815" w:rsidRPr="00CF34E7">
              <w:rPr>
                <w:bCs/>
                <w:sz w:val="28"/>
                <w:szCs w:val="28"/>
              </w:rPr>
              <w:t>ПИИ</w:t>
            </w:r>
            <w:r w:rsidR="00F362C5" w:rsidRPr="00CF34E7">
              <w:rPr>
                <w:bCs/>
                <w:sz w:val="28"/>
                <w:szCs w:val="28"/>
              </w:rPr>
              <w:t xml:space="preserve">, за което е предоставена помощта, за период от минимум 1 (една) година след окончателното плащане.  </w:t>
            </w:r>
          </w:p>
          <w:p w:rsidR="00390383" w:rsidRPr="00CF34E7" w:rsidRDefault="00390383" w:rsidP="00F90AAC">
            <w:pPr>
              <w:pStyle w:val="ListParagraph"/>
              <w:ind w:left="0"/>
              <w:jc w:val="both"/>
              <w:rPr>
                <w:bCs/>
                <w:sz w:val="28"/>
                <w:szCs w:val="28"/>
              </w:rPr>
            </w:pPr>
          </w:p>
          <w:p w:rsidR="00390383" w:rsidRPr="00CF34E7" w:rsidRDefault="00390383" w:rsidP="00F90AAC">
            <w:pPr>
              <w:pStyle w:val="ListParagraph"/>
              <w:ind w:left="0"/>
              <w:jc w:val="both"/>
              <w:rPr>
                <w:b/>
                <w:sz w:val="28"/>
                <w:szCs w:val="28"/>
                <w:u w:val="single"/>
              </w:rPr>
            </w:pPr>
            <w:r w:rsidRPr="00CF34E7">
              <w:rPr>
                <w:b/>
                <w:sz w:val="28"/>
                <w:szCs w:val="28"/>
                <w:u w:val="single"/>
              </w:rPr>
              <w:t>Разходи за услуги</w:t>
            </w:r>
          </w:p>
          <w:p w:rsidR="00390383" w:rsidRPr="00CF34E7" w:rsidRDefault="00390383" w:rsidP="00F90AA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hanging="11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 xml:space="preserve">Разходи за наем или такса за ползване на </w:t>
            </w:r>
            <w:r w:rsidR="00B840F7" w:rsidRPr="00CF34E7">
              <w:rPr>
                <w:bCs/>
                <w:sz w:val="28"/>
                <w:szCs w:val="28"/>
              </w:rPr>
              <w:t xml:space="preserve">творчески </w:t>
            </w:r>
            <w:r w:rsidRPr="00CF34E7">
              <w:rPr>
                <w:bCs/>
                <w:sz w:val="28"/>
                <w:szCs w:val="28"/>
              </w:rPr>
              <w:t>пространства (реални или виртуални), за наем на техника, съоръжения, софтуер, теренни съоръжения и помощни средства, свързани с реализацията и разпространението на  културния/ите продукт/и;</w:t>
            </w:r>
          </w:p>
          <w:p w:rsidR="00390383" w:rsidRPr="00CF34E7" w:rsidRDefault="00390383" w:rsidP="00F90AA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hanging="11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>Разходи за проучване на терени и локации за създаване и/или представяне на културния продукт, услуги по подбор на изпълнителски и творчески състав;</w:t>
            </w:r>
          </w:p>
          <w:p w:rsidR="00390383" w:rsidRPr="00CF34E7" w:rsidRDefault="00390383" w:rsidP="00F90AA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hanging="11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>Разходи за транспорт</w:t>
            </w:r>
            <w:r w:rsidR="0085199A" w:rsidRPr="001A783C">
              <w:rPr>
                <w:bCs/>
                <w:sz w:val="28"/>
                <w:szCs w:val="28"/>
              </w:rPr>
              <w:t xml:space="preserve"> </w:t>
            </w:r>
            <w:r w:rsidR="0085199A" w:rsidRPr="00224ADF">
              <w:rPr>
                <w:bCs/>
                <w:sz w:val="28"/>
                <w:szCs w:val="28"/>
              </w:rPr>
              <w:t>на участниците в проекта</w:t>
            </w:r>
            <w:r w:rsidR="0085199A" w:rsidRPr="001A783C">
              <w:rPr>
                <w:bCs/>
                <w:sz w:val="28"/>
                <w:szCs w:val="28"/>
              </w:rPr>
              <w:t xml:space="preserve"> и </w:t>
            </w:r>
            <w:r w:rsidRPr="00CF34E7">
              <w:rPr>
                <w:bCs/>
                <w:sz w:val="28"/>
                <w:szCs w:val="28"/>
              </w:rPr>
              <w:t>на културния/те продукт/и, на материали, оборудване и техника, свързани с ПИИ;</w:t>
            </w:r>
          </w:p>
          <w:p w:rsidR="00390383" w:rsidRPr="00CF34E7" w:rsidRDefault="00390383" w:rsidP="00F90AA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hanging="11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 xml:space="preserve">Разходи за превод, свързан с </w:t>
            </w:r>
            <w:r w:rsidR="00B840F7" w:rsidRPr="00CF34E7">
              <w:rPr>
                <w:bCs/>
                <w:sz w:val="28"/>
                <w:szCs w:val="28"/>
              </w:rPr>
              <w:t xml:space="preserve">прякото </w:t>
            </w:r>
            <w:r w:rsidRPr="00CF34E7">
              <w:rPr>
                <w:bCs/>
                <w:sz w:val="28"/>
                <w:szCs w:val="28"/>
              </w:rPr>
              <w:t>представяне на културния/те продукт/и, за субтитри, придружаващи аудио и видео материали, целящи подпомагане на възприемането на културния/те продукт/и.</w:t>
            </w:r>
          </w:p>
          <w:p w:rsidR="00390383" w:rsidRPr="00CF34E7" w:rsidRDefault="007B07DE" w:rsidP="00F90AA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hanging="11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>Други с</w:t>
            </w:r>
            <w:r w:rsidR="00390383" w:rsidRPr="00CF34E7">
              <w:rPr>
                <w:bCs/>
                <w:sz w:val="28"/>
                <w:szCs w:val="28"/>
              </w:rPr>
              <w:t>пецифични разходи по създаването на културния/те продукт/и.</w:t>
            </w:r>
          </w:p>
          <w:p w:rsidR="00390383" w:rsidRPr="00CF34E7" w:rsidRDefault="00390383" w:rsidP="00F90AA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hanging="11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 xml:space="preserve">Разход за </w:t>
            </w:r>
            <w:r w:rsidR="00F96036">
              <w:rPr>
                <w:bCs/>
                <w:sz w:val="28"/>
                <w:szCs w:val="28"/>
              </w:rPr>
              <w:t xml:space="preserve">монтаж, </w:t>
            </w:r>
            <w:r w:rsidRPr="00CF34E7">
              <w:rPr>
                <w:bCs/>
                <w:sz w:val="28"/>
                <w:szCs w:val="28"/>
              </w:rPr>
              <w:t xml:space="preserve">експониране и поддръжка на културния/те продукт/и в публична среда, включително и </w:t>
            </w:r>
            <w:r w:rsidR="00B840F7" w:rsidRPr="00CF34E7">
              <w:rPr>
                <w:bCs/>
                <w:sz w:val="28"/>
                <w:szCs w:val="28"/>
              </w:rPr>
              <w:t xml:space="preserve">разходи за </w:t>
            </w:r>
            <w:r w:rsidRPr="00CF34E7">
              <w:rPr>
                <w:bCs/>
                <w:sz w:val="28"/>
                <w:szCs w:val="28"/>
              </w:rPr>
              <w:t>охрана;</w:t>
            </w:r>
          </w:p>
          <w:p w:rsidR="00390383" w:rsidRPr="00CF34E7" w:rsidRDefault="00390383" w:rsidP="00F90AA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hanging="11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 xml:space="preserve">За абонаменти към специализирани платформи, свързани с </w:t>
            </w:r>
            <w:r w:rsidR="00B640A8" w:rsidRPr="00CF34E7">
              <w:rPr>
                <w:bCs/>
                <w:sz w:val="28"/>
                <w:szCs w:val="28"/>
              </w:rPr>
              <w:t xml:space="preserve">прякото </w:t>
            </w:r>
            <w:r w:rsidRPr="00CF34E7">
              <w:rPr>
                <w:bCs/>
                <w:sz w:val="28"/>
                <w:szCs w:val="28"/>
              </w:rPr>
              <w:t>реализиране на културния/те продукт/и или разпространението му/им;</w:t>
            </w:r>
          </w:p>
          <w:p w:rsidR="00B657B4" w:rsidRDefault="00390383" w:rsidP="00EB77C1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0" w:hanging="11"/>
              <w:jc w:val="both"/>
              <w:rPr>
                <w:bCs/>
                <w:sz w:val="28"/>
                <w:szCs w:val="28"/>
              </w:rPr>
            </w:pPr>
            <w:r w:rsidRPr="00CF34E7">
              <w:rPr>
                <w:bCs/>
                <w:sz w:val="28"/>
                <w:szCs w:val="28"/>
              </w:rPr>
              <w:t xml:space="preserve">Разходи за откупуване на права - авторски и сродни, </w:t>
            </w:r>
            <w:r w:rsidR="00B640A8" w:rsidRPr="00CF34E7">
              <w:rPr>
                <w:bCs/>
                <w:sz w:val="28"/>
                <w:szCs w:val="28"/>
              </w:rPr>
              <w:t>пряко</w:t>
            </w:r>
            <w:r w:rsidR="00EB77C1" w:rsidRPr="00CF34E7">
              <w:rPr>
                <w:bCs/>
                <w:sz w:val="28"/>
                <w:szCs w:val="28"/>
              </w:rPr>
              <w:t xml:space="preserve"> </w:t>
            </w:r>
            <w:r w:rsidRPr="00CF34E7">
              <w:rPr>
                <w:bCs/>
                <w:sz w:val="28"/>
                <w:szCs w:val="28"/>
              </w:rPr>
              <w:t>свързани с културния/ите продукт/и;</w:t>
            </w:r>
          </w:p>
          <w:p w:rsidR="002520D0" w:rsidRPr="00224ADF" w:rsidRDefault="002520D0" w:rsidP="002520D0">
            <w:pPr>
              <w:pStyle w:val="ListParagraph"/>
              <w:spacing w:after="200" w:line="276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2520D0">
              <w:rPr>
                <w:bCs/>
                <w:sz w:val="28"/>
                <w:szCs w:val="28"/>
              </w:rPr>
              <w:t>•</w:t>
            </w:r>
            <w:r w:rsidRPr="002520D0">
              <w:rPr>
                <w:bCs/>
                <w:sz w:val="28"/>
                <w:szCs w:val="28"/>
              </w:rPr>
              <w:tab/>
            </w:r>
            <w:r w:rsidRPr="00224ADF">
              <w:rPr>
                <w:bCs/>
                <w:sz w:val="28"/>
                <w:szCs w:val="28"/>
              </w:rPr>
              <w:t xml:space="preserve">По отношение на транспорта и/или пътните разходи, когато се осъществяват на принципа на групово пътуване, се приемат разходи за споделен транспорт (напр. наем на микробус, автобус, лек автомобил, </w:t>
            </w:r>
            <w:r w:rsidRPr="00224ADF">
              <w:rPr>
                <w:bCs/>
                <w:sz w:val="28"/>
                <w:szCs w:val="28"/>
              </w:rPr>
              <w:lastRenderedPageBreak/>
              <w:t xml:space="preserve">разходите за гориво); </w:t>
            </w:r>
          </w:p>
          <w:p w:rsidR="002520D0" w:rsidRPr="00CF34E7" w:rsidRDefault="002520D0" w:rsidP="002520D0">
            <w:pPr>
              <w:pStyle w:val="ListParagraph"/>
              <w:spacing w:after="200" w:line="276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224ADF">
              <w:rPr>
                <w:bCs/>
                <w:sz w:val="28"/>
                <w:szCs w:val="28"/>
              </w:rPr>
              <w:t>•</w:t>
            </w:r>
            <w:r w:rsidRPr="00224ADF">
              <w:rPr>
                <w:bCs/>
                <w:sz w:val="28"/>
                <w:szCs w:val="28"/>
              </w:rPr>
              <w:tab/>
              <w:t>Приоритет имат алтернативни варианти за пътуване с по-ниско ниво на нанасяне на вреда на околната среда.</w:t>
            </w:r>
          </w:p>
          <w:p w:rsidR="00B657B4" w:rsidRPr="00CF34E7" w:rsidRDefault="00B657B4" w:rsidP="00F90AAC">
            <w:pPr>
              <w:tabs>
                <w:tab w:val="left" w:pos="453"/>
                <w:tab w:val="left" w:pos="882"/>
              </w:tabs>
              <w:jc w:val="both"/>
              <w:rPr>
                <w:rFonts w:eastAsia="Cambria"/>
                <w:b/>
                <w:sz w:val="28"/>
                <w:szCs w:val="28"/>
              </w:rPr>
            </w:pPr>
            <w:r w:rsidRPr="00CF34E7">
              <w:rPr>
                <w:rFonts w:eastAsia="Cambria"/>
                <w:b/>
                <w:sz w:val="28"/>
                <w:szCs w:val="28"/>
              </w:rPr>
              <w:t>II. НЕПРЕКИ РАЗХОДИ</w:t>
            </w:r>
          </w:p>
          <w:p w:rsidR="00B657B4" w:rsidRPr="00CF34E7" w:rsidRDefault="00B657B4" w:rsidP="00F90AAC">
            <w:pPr>
              <w:tabs>
                <w:tab w:val="left" w:pos="306"/>
              </w:tabs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b/>
                <w:sz w:val="28"/>
                <w:szCs w:val="28"/>
              </w:rPr>
              <w:t>„Непреки разходи“</w:t>
            </w:r>
            <w:r w:rsidRPr="00CF34E7">
              <w:rPr>
                <w:rFonts w:eastAsia="Cambria"/>
                <w:sz w:val="28"/>
                <w:szCs w:val="28"/>
              </w:rPr>
              <w:t xml:space="preserve"> са разходите, които са свързани с изпълнението на дейности, предвидени в проекта, които не допринасят пряко за постигането на неговите цели и резултати, но са необходими за неговото цялостно администриране, управление, оценка и финансово изпълнение. </w:t>
            </w:r>
          </w:p>
          <w:p w:rsidR="00B657B4" w:rsidRPr="00CF34E7" w:rsidRDefault="00B657B4" w:rsidP="00F90AAC">
            <w:pPr>
              <w:tabs>
                <w:tab w:val="left" w:pos="453"/>
                <w:tab w:val="left" w:pos="882"/>
              </w:tabs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В рамките на настоящата процедура са допустими следните категории непреки разходи:</w:t>
            </w:r>
          </w:p>
          <w:p w:rsidR="00D03CB1" w:rsidRPr="00CF34E7" w:rsidRDefault="00D03CB1" w:rsidP="00F90AAC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Разходи за счетоводни услуги, в т.ч. одит (заверка от експерт-счетоводител) (до 5% от преките разходи);</w:t>
            </w:r>
          </w:p>
          <w:p w:rsidR="00D03CB1" w:rsidRPr="00CF34E7" w:rsidRDefault="00D03CB1" w:rsidP="00F90AAC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Юридически услуги (до 5% от преките разходи);</w:t>
            </w:r>
          </w:p>
          <w:p w:rsidR="00D03CB1" w:rsidRPr="00CF34E7" w:rsidRDefault="00D03CB1" w:rsidP="00F90AAC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Разходи за административен екип по проекта, включително ръководител и координато</w:t>
            </w:r>
            <w:r w:rsidR="00856F72">
              <w:rPr>
                <w:sz w:val="28"/>
                <w:szCs w:val="28"/>
              </w:rPr>
              <w:t>р (до 10</w:t>
            </w:r>
            <w:r w:rsidRPr="00CF34E7">
              <w:rPr>
                <w:sz w:val="28"/>
                <w:szCs w:val="28"/>
              </w:rPr>
              <w:t>% от преките разходи);</w:t>
            </w:r>
          </w:p>
          <w:p w:rsidR="00D03CB1" w:rsidRPr="00CF34E7" w:rsidRDefault="00D03CB1" w:rsidP="00F90AAC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Разходи за маркетинг и реклама, изработка на информационни и илюстративни материали в дигитален формат</w:t>
            </w:r>
            <w:r w:rsidR="00D43C88" w:rsidRPr="00CF34E7">
              <w:rPr>
                <w:sz w:val="28"/>
                <w:szCs w:val="28"/>
              </w:rPr>
              <w:t xml:space="preserve"> (до 5% от преките разходи)</w:t>
            </w:r>
            <w:r w:rsidRPr="00CF34E7">
              <w:rPr>
                <w:sz w:val="28"/>
                <w:szCs w:val="28"/>
              </w:rPr>
              <w:t>;</w:t>
            </w:r>
          </w:p>
          <w:p w:rsidR="00D03CB1" w:rsidRPr="00CF34E7" w:rsidRDefault="00D03CB1" w:rsidP="00F90AAC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Разходи за предпроектно проучване и анализ на количествени и качествени данни, свързани със създаването и разпространението на културния/те продукт/и, предоставени от външни консултанти и доставчици на услуги (до 5% от преките разходи);</w:t>
            </w:r>
          </w:p>
          <w:p w:rsidR="00ED3317" w:rsidRPr="00CF34E7" w:rsidRDefault="00D03CB1" w:rsidP="0010450D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Разходи за консултантски услуги, предоставяни от външни консултанти и доставчици на услуги, свързани с административната част по оформяне, кандидатстване и отчитане на ПИИ по настоящата процедура (до 10% от преките разходи).</w:t>
            </w:r>
          </w:p>
          <w:p w:rsidR="00B657B4" w:rsidRPr="00CF34E7" w:rsidRDefault="00B657B4" w:rsidP="00F90AAC">
            <w:pPr>
              <w:tabs>
                <w:tab w:val="left" w:pos="306"/>
              </w:tabs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*</w:t>
            </w:r>
            <w:r w:rsidR="006422E1" w:rsidRPr="00CF34E7">
              <w:rPr>
                <w:color w:val="000000" w:themeColor="text1"/>
                <w:sz w:val="28"/>
                <w:szCs w:val="28"/>
                <w:lang w:eastAsia="bg-BG"/>
              </w:rPr>
              <w:t xml:space="preserve"> </w:t>
            </w:r>
            <w:r w:rsidR="004337DE" w:rsidRPr="00CF34E7">
              <w:rPr>
                <w:rFonts w:eastAsia="Cambria"/>
                <w:sz w:val="28"/>
                <w:szCs w:val="28"/>
              </w:rPr>
              <w:t>При копродукционна дейност с</w:t>
            </w:r>
            <w:r w:rsidRPr="00CF34E7">
              <w:rPr>
                <w:rFonts w:eastAsia="Cambria"/>
                <w:sz w:val="28"/>
                <w:szCs w:val="28"/>
              </w:rPr>
              <w:t>редствата се предоставят единствено и само за разходи на кандидатств</w:t>
            </w:r>
            <w:r w:rsidRPr="00474034">
              <w:rPr>
                <w:rFonts w:eastAsia="Cambria"/>
                <w:sz w:val="28"/>
                <w:szCs w:val="28"/>
              </w:rPr>
              <w:t>ащата организация.</w:t>
            </w:r>
            <w:r w:rsidR="001047B6" w:rsidRPr="00474034">
              <w:rPr>
                <w:rFonts w:eastAsia="Cambria"/>
                <w:sz w:val="28"/>
                <w:szCs w:val="28"/>
              </w:rPr>
              <w:t xml:space="preserve"> При копродукционна дейност, средствата се предоставят единствено и само за разходи на кандидатстващата организация.</w:t>
            </w:r>
          </w:p>
          <w:p w:rsidR="008540B9" w:rsidRPr="00CF34E7" w:rsidRDefault="008540B9" w:rsidP="008540B9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 xml:space="preserve">ВАЖНО: Всички разходи на стойност равни и над 30 000,00 лв. без ДДС, с изключение на описаните в чл. 3, ал. 2 от ПМС 80/2022г., подлежат на процедура за възлагане с публична покана. </w:t>
            </w:r>
          </w:p>
          <w:p w:rsidR="008540B9" w:rsidRPr="00CF34E7" w:rsidRDefault="008540B9" w:rsidP="008540B9">
            <w:p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Процедурата за избор на изпълнител, която трябва да проведе крайния</w:t>
            </w:r>
            <w:r w:rsidR="00AC4561">
              <w:rPr>
                <w:sz w:val="28"/>
                <w:szCs w:val="28"/>
              </w:rPr>
              <w:t>т</w:t>
            </w:r>
            <w:r w:rsidRPr="00CF34E7">
              <w:rPr>
                <w:sz w:val="28"/>
                <w:szCs w:val="28"/>
              </w:rPr>
              <w:t xml:space="preserve"> </w:t>
            </w:r>
            <w:r w:rsidRPr="00CF34E7">
              <w:rPr>
                <w:sz w:val="28"/>
                <w:szCs w:val="28"/>
              </w:rPr>
              <w:lastRenderedPageBreak/>
              <w:t>получател, се определя в зависимост от одобрената инвестиция за доставки/услуги съгласно одобрения бюджет, при спазване на следните препоръки по отношение на определяне на процедурите за избор на изпълнители за дейностите по проекта:</w:t>
            </w:r>
          </w:p>
          <w:p w:rsidR="008540B9" w:rsidRPr="00CF34E7" w:rsidRDefault="008540B9" w:rsidP="008540B9">
            <w:pPr>
              <w:pStyle w:val="ListParagraph"/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не се допуска разделяне на предмета на процедурата при изпълнението на проекта с цел заобикаляне прилагането на ПМС 80/2022г. и ЗОП. Съгласно т. 7 от Допълнителните разпоредби на ПМС 80/2022 г. „Разделяне на предмета на възлагане“ е налице, когато с цел използване на по-благоприятен режим за избор на изпълнител крайният получател е възложил отделно изпълнението на идентични или сходни дейности, включително чрез разделяне изпълнението на конкретна дейност на части;</w:t>
            </w:r>
          </w:p>
          <w:p w:rsidR="008540B9" w:rsidRPr="00CF34E7" w:rsidRDefault="008540B9" w:rsidP="008540B9">
            <w:pPr>
              <w:pStyle w:val="ListParagraph"/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предметът на процедурата следва да включва доставката на всички стоки или изпълнението на всички услуги, които са функционално свързани помежду си. Под „функционално свързани</w:t>
            </w:r>
            <w:r w:rsidR="00AC4561">
              <w:rPr>
                <w:sz w:val="28"/>
                <w:szCs w:val="28"/>
              </w:rPr>
              <w:t>“</w:t>
            </w:r>
            <w:r w:rsidRPr="00CF34E7">
              <w:rPr>
                <w:sz w:val="28"/>
                <w:szCs w:val="28"/>
              </w:rPr>
              <w:t xml:space="preserve"> следва да се разбира стоки и услуги, които се използват за същите или сходни нужди;</w:t>
            </w:r>
          </w:p>
          <w:p w:rsidR="008540B9" w:rsidRPr="00CF34E7" w:rsidRDefault="008540B9" w:rsidP="008540B9">
            <w:pPr>
              <w:pStyle w:val="ListParagraph"/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видът на тези процедури се определя с оглед предвидената и одобрена стойност, за съответната услуга/доставка за целия период на проекта;</w:t>
            </w:r>
          </w:p>
          <w:p w:rsidR="008540B9" w:rsidRPr="00CF34E7" w:rsidRDefault="008540B9" w:rsidP="008540B9">
            <w:pPr>
              <w:pStyle w:val="ListParagraph"/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крайните получатели имат предвид следните особености, когато използват система с обособени позиции:</w:t>
            </w:r>
          </w:p>
          <w:p w:rsidR="008540B9" w:rsidRPr="00CF34E7" w:rsidRDefault="008540B9" w:rsidP="008540B9">
            <w:pPr>
              <w:pStyle w:val="ListParagraph"/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съответните доставки/услуги представляват такава част от обекта на процедурата, която въпреки че може да бъде самостоятелен обект на процедура, е систематично свързана с другите позиции от обекта на процедурата;</w:t>
            </w:r>
          </w:p>
          <w:p w:rsidR="008540B9" w:rsidRPr="00CF34E7" w:rsidRDefault="008540B9" w:rsidP="008540B9">
            <w:pPr>
              <w:pStyle w:val="ListParagraph"/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доставките и/или услугите не могат да бъдат извършени от един изпълнител;</w:t>
            </w:r>
          </w:p>
          <w:p w:rsidR="008540B9" w:rsidRPr="00CF34E7" w:rsidRDefault="008540B9" w:rsidP="008540B9">
            <w:pPr>
              <w:pStyle w:val="ListParagraph"/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определящо за избора на вида процедура за определяне на изпълнител с включени в нея обособени позиции е общата сума на всички обособени позиции (а не стойността на всяка обособена позиция).</w:t>
            </w:r>
          </w:p>
          <w:p w:rsidR="00A368EB" w:rsidRPr="00CF34E7" w:rsidRDefault="00A368EB" w:rsidP="001225EB">
            <w:pPr>
              <w:tabs>
                <w:tab w:val="left" w:pos="306"/>
              </w:tabs>
              <w:jc w:val="both"/>
              <w:rPr>
                <w:rFonts w:eastAsia="Cambria"/>
                <w:sz w:val="28"/>
                <w:szCs w:val="28"/>
              </w:rPr>
            </w:pPr>
          </w:p>
          <w:p w:rsidR="00486EB3" w:rsidRPr="00CF34E7" w:rsidRDefault="00B657B4" w:rsidP="00803162">
            <w:pPr>
              <w:tabs>
                <w:tab w:val="left" w:pos="306"/>
              </w:tabs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**</w:t>
            </w:r>
            <w:r w:rsidR="00486EB3" w:rsidRPr="00474034">
              <w:rPr>
                <w:sz w:val="28"/>
                <w:szCs w:val="28"/>
              </w:rPr>
              <w:t>Разходите се финансират чрез авансово плащане, междинно плащане и окончателно плащане. Авансовото плащане може да бъде в размер до 60% от общия размер на безвъзмездното финансиране, като за обезпечаването допустимите по процедурата частни културни организации и еднолични търговци предоставят банкова гаранция</w:t>
            </w:r>
            <w:r w:rsidR="00195432" w:rsidRPr="00474034">
              <w:rPr>
                <w:sz w:val="28"/>
                <w:szCs w:val="28"/>
              </w:rPr>
              <w:t xml:space="preserve"> или застраховка гаранция за авансово плащане</w:t>
            </w:r>
            <w:r w:rsidR="00BE168B" w:rsidRPr="00BE168B">
              <w:rPr>
                <w:sz w:val="28"/>
                <w:szCs w:val="28"/>
                <w:lang w:val="ru-RU"/>
              </w:rPr>
              <w:t>,</w:t>
            </w:r>
            <w:r w:rsidR="00486EB3" w:rsidRPr="00474034">
              <w:rPr>
                <w:sz w:val="28"/>
                <w:szCs w:val="28"/>
              </w:rPr>
              <w:t xml:space="preserve"> покриваща пълния размер на исканата авансова сума. Срокът на валидност на </w:t>
            </w:r>
            <w:r w:rsidR="00195432" w:rsidRPr="00474034">
              <w:rPr>
                <w:sz w:val="28"/>
                <w:szCs w:val="28"/>
              </w:rPr>
              <w:t>обезпечението</w:t>
            </w:r>
            <w:r w:rsidR="00486EB3" w:rsidRPr="00474034">
              <w:rPr>
                <w:sz w:val="28"/>
                <w:szCs w:val="28"/>
              </w:rPr>
              <w:t xml:space="preserve"> за авансово плащане трябва да </w:t>
            </w:r>
            <w:r w:rsidR="001225EB" w:rsidRPr="00474034">
              <w:rPr>
                <w:sz w:val="28"/>
                <w:szCs w:val="28"/>
              </w:rPr>
              <w:t>бъде</w:t>
            </w:r>
            <w:r w:rsidR="00486EB3" w:rsidRPr="00474034">
              <w:rPr>
                <w:sz w:val="28"/>
                <w:szCs w:val="28"/>
              </w:rPr>
              <w:t xml:space="preserve"> </w:t>
            </w:r>
            <w:r w:rsidR="00486EB3" w:rsidRPr="00474034">
              <w:rPr>
                <w:sz w:val="28"/>
                <w:szCs w:val="28"/>
              </w:rPr>
              <w:lastRenderedPageBreak/>
              <w:t xml:space="preserve">равен на срока за изпълнение на одобреното ПИИ, удължен с шест месеца. Междинното плащане може да бъде в размер до </w:t>
            </w:r>
            <w:r w:rsidR="00486EB3" w:rsidRPr="00474034">
              <w:rPr>
                <w:color w:val="000000" w:themeColor="text1"/>
                <w:sz w:val="28"/>
                <w:szCs w:val="28"/>
              </w:rPr>
              <w:t xml:space="preserve">90% </w:t>
            </w:r>
            <w:r w:rsidR="00486EB3" w:rsidRPr="00474034">
              <w:rPr>
                <w:sz w:val="28"/>
                <w:szCs w:val="28"/>
              </w:rPr>
              <w:t>от общия размер на безвъзмездното финансиране. В случай че</w:t>
            </w:r>
            <w:r w:rsidR="00486EB3" w:rsidRPr="00CF34E7">
              <w:rPr>
                <w:sz w:val="28"/>
                <w:szCs w:val="28"/>
              </w:rPr>
              <w:t xml:space="preserve"> по подаденото ПИИ се кандидатства както за</w:t>
            </w:r>
            <w:r w:rsidR="00F96036">
              <w:rPr>
                <w:sz w:val="28"/>
                <w:szCs w:val="28"/>
              </w:rPr>
              <w:t xml:space="preserve"> авансово плащане, така и за ме</w:t>
            </w:r>
            <w:r w:rsidR="00486EB3" w:rsidRPr="00CF34E7">
              <w:rPr>
                <w:sz w:val="28"/>
                <w:szCs w:val="28"/>
              </w:rPr>
              <w:t>ж</w:t>
            </w:r>
            <w:r w:rsidR="00474034">
              <w:rPr>
                <w:sz w:val="28"/>
                <w:szCs w:val="28"/>
              </w:rPr>
              <w:t>д</w:t>
            </w:r>
            <w:r w:rsidR="00486EB3" w:rsidRPr="00CF34E7">
              <w:rPr>
                <w:sz w:val="28"/>
                <w:szCs w:val="28"/>
              </w:rPr>
              <w:t xml:space="preserve">инно плащане, тогава окончателното плащане </w:t>
            </w:r>
            <w:r w:rsidR="009C1B47" w:rsidRPr="00CF34E7">
              <w:rPr>
                <w:sz w:val="28"/>
                <w:szCs w:val="28"/>
              </w:rPr>
              <w:t>не може да бъде по-малко от 10%</w:t>
            </w:r>
          </w:p>
        </w:tc>
      </w:tr>
    </w:tbl>
    <w:p w:rsidR="000578BC" w:rsidRPr="00CF34E7" w:rsidRDefault="00084D2E" w:rsidP="00CD1C33">
      <w:pPr>
        <w:pStyle w:val="Heading2"/>
        <w:numPr>
          <w:ilvl w:val="0"/>
          <w:numId w:val="0"/>
        </w:numPr>
        <w:ind w:left="709"/>
        <w:rPr>
          <w:rFonts w:ascii="Times New Roman" w:eastAsia="Cambria" w:hAnsi="Times New Roman" w:cs="Times New Roman"/>
          <w:color w:val="0070C0"/>
          <w:sz w:val="28"/>
          <w:szCs w:val="28"/>
          <w:lang w:val="bg-BG"/>
        </w:rPr>
      </w:pPr>
      <w:bookmarkStart w:id="16" w:name="_Toc151332350"/>
      <w:r w:rsidRPr="00CF34E7">
        <w:rPr>
          <w:rFonts w:ascii="Times New Roman" w:eastAsia="Cambria" w:hAnsi="Times New Roman" w:cs="Times New Roman"/>
          <w:color w:val="0070C0"/>
          <w:sz w:val="28"/>
          <w:szCs w:val="28"/>
          <w:lang w:val="bg-BG"/>
        </w:rPr>
        <w:lastRenderedPageBreak/>
        <w:t>Недопустими разходи</w:t>
      </w:r>
      <w:bookmarkEnd w:id="16"/>
    </w:p>
    <w:tbl>
      <w:tblPr>
        <w:tblStyle w:val="afffc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51"/>
      </w:tblGrid>
      <w:tr w:rsidR="008F6B0C" w:rsidRPr="00CF34E7">
        <w:tc>
          <w:tcPr>
            <w:tcW w:w="9351" w:type="dxa"/>
          </w:tcPr>
          <w:p w:rsidR="000578BC" w:rsidRPr="00CF34E7" w:rsidRDefault="00084D2E" w:rsidP="008F190A">
            <w:pPr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Недопустими за финансиране в рамките на настоящата процедура са разходи, които не са изрично предвидени като категории допустими разходи и/или не отговарят на условията за тяхната допустимост.</w:t>
            </w:r>
          </w:p>
          <w:p w:rsidR="000578BC" w:rsidRPr="00CF34E7" w:rsidRDefault="00084D2E" w:rsidP="008F190A">
            <w:pPr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В частност, с оглед избягване на съмнение, недопустими по процедурата са следните категории разходи:</w:t>
            </w:r>
          </w:p>
          <w:p w:rsidR="0056654D" w:rsidRPr="00CF34E7" w:rsidRDefault="0056654D" w:rsidP="0056654D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всички разходи, които получават подкрепа по други програми и инструменти на ЕС и от периодични национални бюджетни разходи, които се извършват независимо от изпълнението на НПВУ, включително – структурни програми за цялостна подкрепа на дейността на кандидата от НФК, средства от държавния или общинския бюджет за дейност и издръжка;</w:t>
            </w:r>
          </w:p>
          <w:p w:rsidR="008F190A" w:rsidRPr="00CF34E7" w:rsidRDefault="003E28B8" w:rsidP="0056654D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rFonts w:eastAsia="Cambria"/>
                <w:sz w:val="28"/>
                <w:szCs w:val="28"/>
              </w:rPr>
              <w:t>разходи за закупуване на превозни средства – пътни превозни средства</w:t>
            </w:r>
            <w:r w:rsidRPr="00CF34E7">
              <w:rPr>
                <w:rStyle w:val="FootnoteReference"/>
                <w:rFonts w:eastAsia="Cambria"/>
                <w:sz w:val="28"/>
                <w:szCs w:val="28"/>
              </w:rPr>
              <w:footnoteReference w:id="6"/>
            </w:r>
            <w:r w:rsidRPr="00CF34E7">
              <w:rPr>
                <w:rFonts w:eastAsia="Cambria"/>
                <w:sz w:val="28"/>
                <w:szCs w:val="28"/>
              </w:rPr>
              <w:t>, въздухоплавателни средства (с изключение на дронове), плавателни съдове и плавателни средства, вътрешноцехов и вътрешнозаводски транспор</w:t>
            </w:r>
            <w:r w:rsidR="00AD436A" w:rsidRPr="00CF34E7">
              <w:rPr>
                <w:rFonts w:eastAsia="Cambria"/>
                <w:sz w:val="28"/>
                <w:szCs w:val="28"/>
              </w:rPr>
              <w:t>т</w:t>
            </w:r>
            <w:r w:rsidRPr="00CF34E7">
              <w:rPr>
                <w:rFonts w:eastAsia="Cambria"/>
                <w:sz w:val="28"/>
                <w:szCs w:val="28"/>
              </w:rPr>
              <w:t>, в т.ч. електрокари, мотокари и газокари;</w:t>
            </w:r>
          </w:p>
          <w:p w:rsidR="00B4597E" w:rsidRPr="003F1981" w:rsidRDefault="00B4597E" w:rsidP="00E16787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 xml:space="preserve">разходи по дейности за </w:t>
            </w:r>
            <w:r w:rsidRPr="003F1981">
              <w:rPr>
                <w:rFonts w:eastAsia="Cambria"/>
                <w:sz w:val="28"/>
                <w:szCs w:val="28"/>
              </w:rPr>
              <w:t xml:space="preserve">СМР и </w:t>
            </w:r>
            <w:r w:rsidR="00265C99" w:rsidRPr="003F1981">
              <w:rPr>
                <w:rFonts w:eastAsia="Cambria"/>
                <w:sz w:val="28"/>
                <w:szCs w:val="28"/>
              </w:rPr>
              <w:t xml:space="preserve">за </w:t>
            </w:r>
            <w:r w:rsidRPr="003F1981">
              <w:rPr>
                <w:rFonts w:eastAsia="Cambria"/>
                <w:sz w:val="28"/>
                <w:szCs w:val="28"/>
              </w:rPr>
              <w:t>поставяеми и преместваеми обекти, подлежащи на разрешителен режим, съгласно Закон за устройство на територията и подзаконови нормативни актове;</w:t>
            </w:r>
          </w:p>
          <w:p w:rsidR="008F190A" w:rsidRPr="003F1981" w:rsidRDefault="00B4597E" w:rsidP="00E16787">
            <w:pPr>
              <w:pStyle w:val="ListParagraph"/>
              <w:numPr>
                <w:ilvl w:val="0"/>
                <w:numId w:val="5"/>
              </w:numPr>
              <w:ind w:hanging="720"/>
              <w:jc w:val="both"/>
              <w:rPr>
                <w:rFonts w:eastAsia="Cambria"/>
                <w:sz w:val="28"/>
                <w:szCs w:val="28"/>
              </w:rPr>
            </w:pPr>
            <w:r w:rsidRPr="003F1981">
              <w:rPr>
                <w:rFonts w:eastAsia="Cambria"/>
                <w:sz w:val="28"/>
                <w:szCs w:val="28"/>
              </w:rPr>
              <w:t>разходи за живи животни и растения</w:t>
            </w:r>
            <w:r w:rsidR="00FA6122" w:rsidRPr="003F1981">
              <w:rPr>
                <w:rFonts w:eastAsia="Cambria"/>
                <w:sz w:val="28"/>
                <w:szCs w:val="28"/>
              </w:rPr>
              <w:t>, вкл. и разходи за тяхното отглеждане</w:t>
            </w:r>
            <w:r w:rsidRPr="003F1981">
              <w:rPr>
                <w:rFonts w:eastAsia="Cambria"/>
                <w:sz w:val="28"/>
                <w:szCs w:val="28"/>
              </w:rPr>
              <w:t>;</w:t>
            </w:r>
          </w:p>
          <w:p w:rsidR="000578BC" w:rsidRPr="003F1981" w:rsidRDefault="00084D2E" w:rsidP="00EF7383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  <w:lang/>
              </w:rPr>
            </w:pPr>
            <w:r w:rsidRPr="003F1981">
              <w:rPr>
                <w:rFonts w:eastAsia="Cambria"/>
                <w:sz w:val="28"/>
                <w:szCs w:val="28"/>
              </w:rPr>
              <w:t>разходи за възстановим ДДС;</w:t>
            </w:r>
          </w:p>
          <w:p w:rsidR="005D1894" w:rsidRPr="00CF34E7" w:rsidRDefault="005D1894" w:rsidP="00EF738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представителни разходи;</w:t>
            </w:r>
          </w:p>
          <w:p w:rsidR="005D1894" w:rsidRPr="00CF34E7" w:rsidRDefault="005D1894" w:rsidP="00EF738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всички разходи, които не са относими към допустимите по настоящата процедура дейности;</w:t>
            </w:r>
          </w:p>
          <w:p w:rsidR="00AA6665" w:rsidRPr="00CF34E7" w:rsidRDefault="005D1894" w:rsidP="00EF738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всички разходи, извършени преди подаване на ПИИ;</w:t>
            </w:r>
          </w:p>
          <w:p w:rsidR="003C4C8E" w:rsidRPr="00CF34E7" w:rsidRDefault="00AA6665" w:rsidP="00EF738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lastRenderedPageBreak/>
              <w:t>всички разходи за закупуване на материални активи втора употреба</w:t>
            </w:r>
            <w:r w:rsidR="00201BF2" w:rsidRPr="00CF34E7">
              <w:rPr>
                <w:rFonts w:eastAsia="Cambria"/>
                <w:sz w:val="28"/>
                <w:szCs w:val="28"/>
              </w:rPr>
              <w:t>;</w:t>
            </w:r>
          </w:p>
          <w:p w:rsidR="00DB7D2A" w:rsidRPr="00CF34E7" w:rsidRDefault="00DB7D2A" w:rsidP="00EF738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ра</w:t>
            </w:r>
            <w:r w:rsidR="00FE02B0" w:rsidRPr="00CF34E7">
              <w:rPr>
                <w:rFonts w:eastAsia="Cambria"/>
                <w:sz w:val="28"/>
                <w:szCs w:val="28"/>
              </w:rPr>
              <w:t>зходи за застраховки на закупените материални дълготрайни активи</w:t>
            </w:r>
            <w:r w:rsidRPr="00CF34E7">
              <w:rPr>
                <w:rFonts w:eastAsia="Cambria"/>
                <w:sz w:val="28"/>
                <w:szCs w:val="28"/>
              </w:rPr>
              <w:t>;</w:t>
            </w:r>
          </w:p>
          <w:p w:rsidR="00DB7D2A" w:rsidRPr="00CF34E7" w:rsidRDefault="00DB7D2A" w:rsidP="00EF738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rFonts w:eastAsia="Cambria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принос в натура;</w:t>
            </w:r>
          </w:p>
          <w:p w:rsidR="00190095" w:rsidRPr="00CF34E7" w:rsidRDefault="00190095" w:rsidP="00EF738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разход за наем на офис на организацията кандидат;</w:t>
            </w:r>
          </w:p>
          <w:p w:rsidR="00581734" w:rsidRPr="00CF34E7" w:rsidRDefault="00EE44B5" w:rsidP="00FE02B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</w:rPr>
              <w:t>разходи за командировки и разходи за дейности</w:t>
            </w:r>
            <w:r w:rsidR="00555C28" w:rsidRPr="00CF34E7">
              <w:rPr>
                <w:sz w:val="28"/>
                <w:szCs w:val="28"/>
              </w:rPr>
              <w:t>,</w:t>
            </w:r>
            <w:r w:rsidRPr="00CF34E7">
              <w:rPr>
                <w:sz w:val="28"/>
                <w:szCs w:val="28"/>
              </w:rPr>
              <w:t xml:space="preserve"> включени в </w:t>
            </w:r>
            <w:r w:rsidR="001B274E">
              <w:rPr>
                <w:sz w:val="28"/>
                <w:szCs w:val="28"/>
              </w:rPr>
              <w:t xml:space="preserve">утвърдения </w:t>
            </w:r>
            <w:r w:rsidRPr="00CF34E7">
              <w:rPr>
                <w:sz w:val="28"/>
                <w:szCs w:val="28"/>
              </w:rPr>
              <w:t>репертоар</w:t>
            </w:r>
            <w:r w:rsidR="00555C28" w:rsidRPr="00CF34E7">
              <w:rPr>
                <w:sz w:val="28"/>
                <w:szCs w:val="28"/>
              </w:rPr>
              <w:t>е</w:t>
            </w:r>
            <w:r w:rsidRPr="00CF34E7">
              <w:rPr>
                <w:sz w:val="28"/>
                <w:szCs w:val="28"/>
              </w:rPr>
              <w:t>н план на държавните</w:t>
            </w:r>
            <w:r w:rsidR="008A538F" w:rsidRPr="00CF34E7">
              <w:rPr>
                <w:sz w:val="28"/>
                <w:szCs w:val="28"/>
              </w:rPr>
              <w:t>, общинските и регионалните</w:t>
            </w:r>
            <w:r w:rsidRPr="00CF34E7">
              <w:rPr>
                <w:sz w:val="28"/>
                <w:szCs w:val="28"/>
              </w:rPr>
              <w:t xml:space="preserve"> културни институти</w:t>
            </w:r>
          </w:p>
          <w:p w:rsidR="008E6321" w:rsidRPr="00CF34E7" w:rsidRDefault="008E6321" w:rsidP="008E63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разходи за недопустими дейности</w:t>
            </w:r>
            <w:r w:rsidR="00582360" w:rsidRPr="00CF34E7">
              <w:rPr>
                <w:sz w:val="28"/>
                <w:szCs w:val="28"/>
                <w:lang/>
              </w:rPr>
              <w:t>;</w:t>
            </w:r>
          </w:p>
          <w:p w:rsidR="00582360" w:rsidRPr="00CF34E7" w:rsidRDefault="00582360" w:rsidP="0058236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разходи, за които се установи наличие на двойно финансиране</w:t>
            </w:r>
            <w:r w:rsidR="00BE168B" w:rsidRPr="00BE168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0578BC" w:rsidRPr="00CF34E7" w:rsidRDefault="00084D2E" w:rsidP="00CD1C33">
      <w:pPr>
        <w:pStyle w:val="Heading1"/>
        <w:spacing w:before="120" w:after="120"/>
        <w:ind w:left="709"/>
        <w:rPr>
          <w:rFonts w:ascii="Times New Roman" w:eastAsia="Cambria" w:hAnsi="Times New Roman" w:cs="Times New Roman"/>
          <w:color w:val="0070C0"/>
          <w:lang w:val="bg-BG"/>
        </w:rPr>
      </w:pPr>
      <w:bookmarkStart w:id="17" w:name="_Toc151332351"/>
      <w:r w:rsidRPr="00CF34E7">
        <w:rPr>
          <w:rFonts w:ascii="Times New Roman" w:eastAsia="Cambria" w:hAnsi="Times New Roman" w:cs="Times New Roman"/>
          <w:color w:val="0070C0"/>
          <w:lang w:val="bg-BG"/>
        </w:rPr>
        <w:lastRenderedPageBreak/>
        <w:t>Приложим режим на минимални/държавни помощи</w:t>
      </w:r>
      <w:bookmarkEnd w:id="17"/>
    </w:p>
    <w:tbl>
      <w:tblPr>
        <w:tblStyle w:val="afffd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51"/>
      </w:tblGrid>
      <w:tr w:rsidR="008F6B0C" w:rsidRPr="00CF34E7">
        <w:tc>
          <w:tcPr>
            <w:tcW w:w="9351" w:type="dxa"/>
          </w:tcPr>
          <w:p w:rsidR="006F04E1" w:rsidRPr="003F1981" w:rsidRDefault="006F04E1" w:rsidP="006F04E1">
            <w:pPr>
              <w:tabs>
                <w:tab w:val="left" w:pos="851"/>
              </w:tabs>
              <w:jc w:val="both"/>
              <w:rPr>
                <w:rFonts w:eastAsia="Cambria"/>
                <w:sz w:val="28"/>
                <w:szCs w:val="28"/>
              </w:rPr>
            </w:pPr>
            <w:bookmarkStart w:id="18" w:name="_heading=h.2p2csry" w:colFirst="0" w:colLast="0"/>
            <w:bookmarkEnd w:id="18"/>
            <w:r w:rsidRPr="003F1981">
              <w:rPr>
                <w:rFonts w:eastAsia="Cambria"/>
                <w:sz w:val="28"/>
                <w:szCs w:val="28"/>
              </w:rPr>
              <w:t>В рамките на настоящата процедура средствата се предоставят в режим „минимална помощ".</w:t>
            </w:r>
          </w:p>
          <w:p w:rsidR="006F04E1" w:rsidRDefault="004B64FF" w:rsidP="006F098B">
            <w:pPr>
              <w:jc w:val="both"/>
              <w:rPr>
                <w:rFonts w:eastAsia="Cambria"/>
                <w:sz w:val="28"/>
                <w:szCs w:val="28"/>
              </w:rPr>
            </w:pPr>
            <w:r w:rsidRPr="003F1981">
              <w:rPr>
                <w:rFonts w:eastAsia="Cambria"/>
                <w:sz w:val="28"/>
                <w:szCs w:val="28"/>
              </w:rPr>
              <w:t>Изисквания, произтичащи от правилата за „минимална помощ</w:t>
            </w:r>
            <w:r w:rsidR="00BE168B">
              <w:rPr>
                <w:rFonts w:eastAsia="Cambria"/>
                <w:sz w:val="28"/>
                <w:szCs w:val="28"/>
              </w:rPr>
              <w:t>“</w:t>
            </w:r>
            <w:r w:rsidRPr="003F1981">
              <w:rPr>
                <w:rFonts w:eastAsia="Cambria"/>
                <w:sz w:val="28"/>
                <w:szCs w:val="28"/>
              </w:rPr>
              <w:t xml:space="preserve"> (de minimis)</w:t>
            </w:r>
            <w:r w:rsidR="00BE168B">
              <w:rPr>
                <w:rFonts w:eastAsia="Cambria"/>
                <w:sz w:val="28"/>
                <w:szCs w:val="28"/>
              </w:rPr>
              <w:t>,</w:t>
            </w:r>
            <w:r w:rsidRPr="003F1981">
              <w:rPr>
                <w:rFonts w:eastAsia="Cambria"/>
                <w:sz w:val="28"/>
                <w:szCs w:val="28"/>
              </w:rPr>
              <w:t xml:space="preserve"> съгласно Регламент (ЕС) </w:t>
            </w:r>
            <w:r w:rsidR="006F04E1" w:rsidRPr="003F1981">
              <w:rPr>
                <w:rFonts w:eastAsia="Cambria"/>
                <w:sz w:val="28"/>
                <w:szCs w:val="28"/>
              </w:rPr>
              <w:t>2023/2831 на Комисията от 13 декември 2023 година относно прилагането на членове 107 и 108 от Договора за функционирането на Европейския съюз към помощта de minimis.</w:t>
            </w:r>
            <w:r w:rsidR="006F04E1" w:rsidRPr="00CF34E7">
              <w:rPr>
                <w:rFonts w:eastAsia="Cambria"/>
                <w:sz w:val="28"/>
                <w:szCs w:val="28"/>
              </w:rPr>
              <w:t xml:space="preserve"> </w:t>
            </w:r>
          </w:p>
          <w:p w:rsidR="004378E9" w:rsidRPr="00CF34E7" w:rsidRDefault="004378E9" w:rsidP="006F098B">
            <w:pPr>
              <w:pStyle w:val="ListParagraph"/>
              <w:ind w:left="0"/>
              <w:jc w:val="both"/>
              <w:rPr>
                <w:rFonts w:eastAsia="Cambria"/>
                <w:color w:val="0070C0"/>
                <w:sz w:val="28"/>
                <w:szCs w:val="28"/>
              </w:rPr>
            </w:pPr>
          </w:p>
        </w:tc>
      </w:tr>
    </w:tbl>
    <w:p w:rsidR="000578BC" w:rsidRPr="00CF34E7" w:rsidRDefault="00084D2E" w:rsidP="00CD1C33">
      <w:pPr>
        <w:pStyle w:val="Heading1"/>
        <w:spacing w:before="120" w:after="120"/>
        <w:ind w:left="709"/>
        <w:rPr>
          <w:rFonts w:ascii="Times New Roman" w:eastAsia="Cambria" w:hAnsi="Times New Roman" w:cs="Times New Roman"/>
          <w:color w:val="0070C0"/>
          <w:lang w:val="bg-BG"/>
        </w:rPr>
      </w:pPr>
      <w:bookmarkStart w:id="19" w:name="_Toc151332352"/>
      <w:r w:rsidRPr="00CF34E7">
        <w:rPr>
          <w:rFonts w:ascii="Times New Roman" w:eastAsia="Cambria" w:hAnsi="Times New Roman" w:cs="Times New Roman"/>
          <w:color w:val="0070C0"/>
          <w:lang w:val="bg-BG"/>
        </w:rPr>
        <w:t>Интензитет на безвъзмездното финансиране</w:t>
      </w:r>
      <w:bookmarkEnd w:id="19"/>
    </w:p>
    <w:tbl>
      <w:tblPr>
        <w:tblStyle w:val="afffe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51"/>
      </w:tblGrid>
      <w:tr w:rsidR="008F6B0C" w:rsidRPr="00CF34E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700" w:rsidRPr="00CF34E7" w:rsidRDefault="007B1700" w:rsidP="00A6261F">
            <w:pPr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По процедурата се предоставя безвъзмездно финансиране в размер до 90% от стойността на допустимите разходи, при задължително съфинансиране от страна на крайните получатели в размер на най-малко 10% от стойността на допустимите разходи. Участието на крайния получател може да бъде само в парична форма.</w:t>
            </w:r>
          </w:p>
          <w:p w:rsidR="000578BC" w:rsidRPr="00CF34E7" w:rsidRDefault="000578BC" w:rsidP="0007029F">
            <w:pPr>
              <w:jc w:val="both"/>
              <w:rPr>
                <w:rFonts w:eastAsia="Cambria"/>
                <w:color w:val="0070C0"/>
                <w:sz w:val="28"/>
                <w:szCs w:val="28"/>
              </w:rPr>
            </w:pPr>
          </w:p>
        </w:tc>
      </w:tr>
    </w:tbl>
    <w:p w:rsidR="000578BC" w:rsidRPr="00CF34E7" w:rsidRDefault="00084D2E" w:rsidP="00CD1C33">
      <w:pPr>
        <w:pStyle w:val="Heading1"/>
        <w:spacing w:before="120" w:after="120"/>
        <w:ind w:left="709"/>
        <w:rPr>
          <w:rFonts w:ascii="Times New Roman" w:eastAsia="Cambria" w:hAnsi="Times New Roman" w:cs="Times New Roman"/>
          <w:color w:val="0070C0"/>
          <w:lang w:val="bg-BG"/>
        </w:rPr>
      </w:pPr>
      <w:bookmarkStart w:id="20" w:name="_Toc151332353"/>
      <w:r w:rsidRPr="00CF34E7">
        <w:rPr>
          <w:rFonts w:ascii="Times New Roman" w:eastAsia="Cambria" w:hAnsi="Times New Roman" w:cs="Times New Roman"/>
          <w:color w:val="0070C0"/>
          <w:lang w:val="bg-BG"/>
        </w:rPr>
        <w:t>Минимален и максимален размер на безвъзмездно финансиране за индивидуален проект</w:t>
      </w:r>
      <w:bookmarkEnd w:id="20"/>
    </w:p>
    <w:tbl>
      <w:tblPr>
        <w:tblStyle w:val="affff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64"/>
      </w:tblGrid>
      <w:tr w:rsidR="008F6B0C" w:rsidRPr="00CF34E7">
        <w:tc>
          <w:tcPr>
            <w:tcW w:w="9464" w:type="dxa"/>
          </w:tcPr>
          <w:p w:rsidR="00D343B2" w:rsidRPr="00CF34E7" w:rsidRDefault="00D343B2" w:rsidP="00C47660">
            <w:pPr>
              <w:jc w:val="both"/>
              <w:rPr>
                <w:sz w:val="28"/>
                <w:szCs w:val="28"/>
                <w:lang w:eastAsia="bg-BG"/>
              </w:rPr>
            </w:pPr>
            <w:r w:rsidRPr="00CF34E7">
              <w:rPr>
                <w:sz w:val="28"/>
                <w:szCs w:val="28"/>
                <w:lang w:eastAsia="bg-BG"/>
              </w:rPr>
              <w:t>Минималният и максималният размер на безвъзмездното финансиране по всяко индивидуално предложение за изпълнение на инвестиция по процедурата е както следва:</w:t>
            </w:r>
          </w:p>
          <w:p w:rsidR="00D343B2" w:rsidRPr="00CF34E7" w:rsidRDefault="00D343B2" w:rsidP="00C47660">
            <w:pPr>
              <w:jc w:val="both"/>
              <w:rPr>
                <w:sz w:val="28"/>
                <w:szCs w:val="28"/>
                <w:lang w:eastAsia="bg-BG"/>
              </w:rPr>
            </w:pPr>
            <w:r w:rsidRPr="00CF34E7">
              <w:rPr>
                <w:sz w:val="28"/>
                <w:szCs w:val="28"/>
                <w:lang w:eastAsia="bg-BG"/>
              </w:rPr>
              <w:t xml:space="preserve">1. Минималният размер на безвъзмездно финансиране за един кандидат по </w:t>
            </w:r>
            <w:r w:rsidRPr="00CF34E7">
              <w:rPr>
                <w:sz w:val="28"/>
                <w:szCs w:val="28"/>
                <w:lang w:eastAsia="bg-BG"/>
              </w:rPr>
              <w:lastRenderedPageBreak/>
              <w:t>всяка от сесиите е 70 000 лв.</w:t>
            </w:r>
          </w:p>
          <w:p w:rsidR="00D343B2" w:rsidRPr="00CF34E7" w:rsidRDefault="00D343B2" w:rsidP="00C47660">
            <w:pPr>
              <w:jc w:val="both"/>
              <w:rPr>
                <w:sz w:val="28"/>
                <w:szCs w:val="28"/>
                <w:lang w:eastAsia="bg-BG"/>
              </w:rPr>
            </w:pPr>
            <w:r w:rsidRPr="00CF34E7">
              <w:rPr>
                <w:sz w:val="28"/>
                <w:szCs w:val="28"/>
                <w:lang w:eastAsia="bg-BG"/>
              </w:rPr>
              <w:t>2. Максималният размер на безвъзмездното финансиране за един кандидат по всяка  от сесиите е 142 000 лв.</w:t>
            </w:r>
          </w:p>
          <w:p w:rsidR="000578BC" w:rsidRPr="00CF34E7" w:rsidRDefault="000578BC" w:rsidP="00FA3708">
            <w:pPr>
              <w:jc w:val="both"/>
              <w:rPr>
                <w:sz w:val="28"/>
                <w:szCs w:val="28"/>
                <w:lang w:eastAsia="bg-BG"/>
              </w:rPr>
            </w:pPr>
          </w:p>
        </w:tc>
      </w:tr>
    </w:tbl>
    <w:p w:rsidR="000578BC" w:rsidRPr="00CF34E7" w:rsidRDefault="00084D2E" w:rsidP="00CD1C33">
      <w:pPr>
        <w:pStyle w:val="Heading1"/>
        <w:spacing w:before="120" w:after="120"/>
        <w:ind w:left="709"/>
        <w:rPr>
          <w:rFonts w:ascii="Times New Roman" w:eastAsia="Cambria" w:hAnsi="Times New Roman" w:cs="Times New Roman"/>
          <w:color w:val="0070C0"/>
          <w:lang w:val="bg-BG"/>
        </w:rPr>
      </w:pPr>
      <w:bookmarkStart w:id="21" w:name="_Toc151332354"/>
      <w:r w:rsidRPr="00CF34E7">
        <w:rPr>
          <w:rFonts w:ascii="Times New Roman" w:eastAsia="Cambria" w:hAnsi="Times New Roman" w:cs="Times New Roman"/>
          <w:color w:val="0070C0"/>
          <w:lang w:val="bg-BG"/>
        </w:rPr>
        <w:lastRenderedPageBreak/>
        <w:t>Срок за изпълнение на индивидуалните проекти</w:t>
      </w:r>
      <w:bookmarkEnd w:id="21"/>
    </w:p>
    <w:tbl>
      <w:tblPr>
        <w:tblStyle w:val="affff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64"/>
      </w:tblGrid>
      <w:tr w:rsidR="008F6B0C" w:rsidRPr="00CF34E7">
        <w:tc>
          <w:tcPr>
            <w:tcW w:w="9464" w:type="dxa"/>
          </w:tcPr>
          <w:p w:rsidR="000578BC" w:rsidRPr="00CF34E7" w:rsidRDefault="0007055A" w:rsidP="0007055A">
            <w:pPr>
              <w:rPr>
                <w:rFonts w:eastAsia="Cambria"/>
                <w:color w:val="0070C0"/>
                <w:sz w:val="28"/>
                <w:szCs w:val="28"/>
              </w:rPr>
            </w:pPr>
            <w:r w:rsidRPr="00CF34E7">
              <w:rPr>
                <w:rFonts w:eastAsia="Cambria"/>
                <w:sz w:val="28"/>
                <w:szCs w:val="28"/>
              </w:rPr>
              <w:t>12 месеца от двустранното подписване на договора между одобрения кандидат и Националния фонд „Култура“ за финансиране от Механизма за възстановяване и устойчивост за изпълнение на инвестиция</w:t>
            </w:r>
            <w:r w:rsidR="00084D2E" w:rsidRPr="00CF34E7">
              <w:rPr>
                <w:rFonts w:eastAsia="Cambria"/>
                <w:sz w:val="28"/>
                <w:szCs w:val="28"/>
                <w:shd w:val="clear" w:color="auto" w:fill="FFF2CC"/>
              </w:rPr>
              <w:t xml:space="preserve"> </w:t>
            </w:r>
          </w:p>
        </w:tc>
      </w:tr>
    </w:tbl>
    <w:p w:rsidR="000578BC" w:rsidRPr="00CF34E7" w:rsidRDefault="00084D2E" w:rsidP="00CD1C33">
      <w:pPr>
        <w:pStyle w:val="Heading1"/>
        <w:spacing w:before="120" w:after="120"/>
        <w:ind w:left="709"/>
        <w:rPr>
          <w:rFonts w:ascii="Times New Roman" w:eastAsia="Cambria" w:hAnsi="Times New Roman" w:cs="Times New Roman"/>
          <w:color w:val="0070C0"/>
          <w:lang w:val="bg-BG"/>
        </w:rPr>
      </w:pPr>
      <w:bookmarkStart w:id="22" w:name="_Toc151332357"/>
      <w:r w:rsidRPr="00CF34E7">
        <w:rPr>
          <w:rFonts w:ascii="Times New Roman" w:eastAsia="Cambria" w:hAnsi="Times New Roman" w:cs="Times New Roman"/>
          <w:color w:val="0070C0"/>
          <w:lang w:val="bg-BG"/>
        </w:rPr>
        <w:t>Списък на документите, които се подават на етап кандидатстване</w:t>
      </w:r>
      <w:bookmarkEnd w:id="22"/>
    </w:p>
    <w:tbl>
      <w:tblPr>
        <w:tblStyle w:val="affff3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51"/>
      </w:tblGrid>
      <w:tr w:rsidR="008F6B0C" w:rsidRPr="00CF34E7">
        <w:tc>
          <w:tcPr>
            <w:tcW w:w="9351" w:type="dxa"/>
          </w:tcPr>
          <w:p w:rsidR="00B35649" w:rsidRPr="00CF34E7" w:rsidRDefault="00B35649" w:rsidP="00FC71F3">
            <w:pPr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 xml:space="preserve">Кандидатите по настоящата процедура следва да представят към </w:t>
            </w:r>
            <w:r w:rsidRPr="00E70446">
              <w:rPr>
                <w:sz w:val="28"/>
                <w:szCs w:val="28"/>
              </w:rPr>
              <w:t xml:space="preserve">Формуляра за кандидатстване изцяло </w:t>
            </w:r>
            <w:r w:rsidR="00C414D9" w:rsidRPr="00E70446">
              <w:rPr>
                <w:sz w:val="28"/>
                <w:szCs w:val="28"/>
              </w:rPr>
              <w:t xml:space="preserve">по </w:t>
            </w:r>
            <w:r w:rsidRPr="00E70446">
              <w:rPr>
                <w:sz w:val="28"/>
                <w:szCs w:val="28"/>
              </w:rPr>
              <w:t xml:space="preserve">електронен път чрез </w:t>
            </w:r>
            <w:r w:rsidR="00924C03" w:rsidRPr="00E70446">
              <w:rPr>
                <w:sz w:val="28"/>
                <w:szCs w:val="28"/>
              </w:rPr>
              <w:t xml:space="preserve">ИСМ-ИСУН 2020 </w:t>
            </w:r>
            <w:r w:rsidRPr="00E70446">
              <w:rPr>
                <w:sz w:val="28"/>
                <w:szCs w:val="28"/>
              </w:rPr>
              <w:t>следните</w:t>
            </w:r>
            <w:r w:rsidRPr="00CF34E7">
              <w:rPr>
                <w:sz w:val="28"/>
                <w:szCs w:val="28"/>
              </w:rPr>
              <w:t xml:space="preserve"> документи:</w:t>
            </w:r>
          </w:p>
          <w:p w:rsidR="00B35649" w:rsidRPr="00CF34E7" w:rsidRDefault="00B35649" w:rsidP="00FC71F3">
            <w:pPr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1. Нотариално заверено пълномощно в случаите, когато ПИИ ще бъде подадено в ИСМ-ИСУН 2020, раздел НПВУ от лице, различно от законния/ите представител/и на кандидата. Представя се във формат „pdf“ или „jpg“. (Примерен образец – Приложение № 1)</w:t>
            </w:r>
          </w:p>
          <w:p w:rsidR="00B35649" w:rsidRPr="00CF34E7" w:rsidRDefault="00B35649" w:rsidP="00FC71F3">
            <w:pPr>
              <w:jc w:val="both"/>
              <w:rPr>
                <w:sz w:val="28"/>
                <w:szCs w:val="28"/>
              </w:rPr>
            </w:pPr>
            <w:r w:rsidRPr="00E70446">
              <w:rPr>
                <w:sz w:val="28"/>
                <w:szCs w:val="28"/>
              </w:rPr>
              <w:t xml:space="preserve">2. </w:t>
            </w:r>
            <w:r w:rsidR="00E70446" w:rsidRPr="00E70446">
              <w:rPr>
                <w:sz w:val="28"/>
                <w:szCs w:val="28"/>
              </w:rPr>
              <w:t>Критерии за оценка</w:t>
            </w:r>
            <w:r w:rsidR="002175F2" w:rsidRPr="00E70446">
              <w:rPr>
                <w:sz w:val="28"/>
                <w:szCs w:val="28"/>
              </w:rPr>
              <w:t xml:space="preserve"> (Приложение № </w:t>
            </w:r>
            <w:r w:rsidR="00E70446">
              <w:rPr>
                <w:sz w:val="28"/>
                <w:szCs w:val="28"/>
              </w:rPr>
              <w:t>2) във формат „xls“ или „xlsx“. Приложение № 2</w:t>
            </w:r>
            <w:r w:rsidR="00E70446" w:rsidRPr="00E70446">
              <w:rPr>
                <w:sz w:val="28"/>
                <w:szCs w:val="28"/>
              </w:rPr>
              <w:t xml:space="preserve"> </w:t>
            </w:r>
            <w:r w:rsidR="002175F2" w:rsidRPr="00E70446">
              <w:rPr>
                <w:sz w:val="28"/>
                <w:szCs w:val="28"/>
              </w:rPr>
              <w:t>се прикачва към Формуляра за кандидатстване</w:t>
            </w:r>
            <w:r w:rsidR="00E70446" w:rsidRPr="00E70446">
              <w:rPr>
                <w:sz w:val="28"/>
                <w:szCs w:val="28"/>
              </w:rPr>
              <w:t>, секция „Прикачени документи“, поле „Документи, обосноваващи заявения брой точки“ ведно с документите обосноваващи заявения в приложението брой точки</w:t>
            </w:r>
            <w:r w:rsidR="00E70446">
              <w:rPr>
                <w:sz w:val="28"/>
                <w:szCs w:val="28"/>
              </w:rPr>
              <w:t xml:space="preserve">. </w:t>
            </w:r>
            <w:r w:rsidR="00E70446" w:rsidRPr="00E70446">
              <w:rPr>
                <w:sz w:val="28"/>
                <w:szCs w:val="28"/>
              </w:rPr>
              <w:t>Всички документи относими към обосновката на заявения брой точки се прикач</w:t>
            </w:r>
            <w:r w:rsidR="00B72CAE">
              <w:rPr>
                <w:sz w:val="28"/>
                <w:szCs w:val="28"/>
              </w:rPr>
              <w:t>в</w:t>
            </w:r>
            <w:r w:rsidR="00E70446" w:rsidRPr="00E70446">
              <w:rPr>
                <w:sz w:val="28"/>
                <w:szCs w:val="28"/>
              </w:rPr>
              <w:t>ат в структуриран хронологичен ред и архивирани във формат „rar”, „.zip” или „7z”.</w:t>
            </w:r>
          </w:p>
          <w:p w:rsidR="00232371" w:rsidRPr="00CF34E7" w:rsidRDefault="00F86CB9" w:rsidP="00FC71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35649" w:rsidRPr="00CF34E7">
              <w:rPr>
                <w:sz w:val="28"/>
                <w:szCs w:val="28"/>
              </w:rPr>
              <w:t xml:space="preserve">. </w:t>
            </w:r>
            <w:r w:rsidR="00232371" w:rsidRPr="00CF34E7">
              <w:rPr>
                <w:sz w:val="28"/>
                <w:szCs w:val="28"/>
              </w:rPr>
              <w:t xml:space="preserve">Декларация при кандидатстване (Приложение № 3). Попълва се в </w:t>
            </w:r>
            <w:r w:rsidR="003C2A6D" w:rsidRPr="00CF34E7">
              <w:rPr>
                <w:sz w:val="28"/>
                <w:szCs w:val="28"/>
              </w:rPr>
              <w:t>секция</w:t>
            </w:r>
            <w:r w:rsidR="00232371" w:rsidRPr="00CF34E7">
              <w:rPr>
                <w:sz w:val="28"/>
                <w:szCs w:val="28"/>
              </w:rPr>
              <w:t xml:space="preserve"> „Е-Декларации“ към формуляра за кандидатстване в ИСМ-ИСУН 2020, раздел НПВУ. Когато кандидатът се представлява от няколко лица „заедно и поотделно“ или „поотделно“ и Формуляра за кандидатства</w:t>
            </w:r>
            <w:r w:rsidR="00183E79" w:rsidRPr="00CF34E7">
              <w:rPr>
                <w:sz w:val="28"/>
                <w:szCs w:val="28"/>
              </w:rPr>
              <w:t xml:space="preserve">не не се подписва от всички, </w:t>
            </w:r>
            <w:r w:rsidR="00232371" w:rsidRPr="00CF34E7">
              <w:rPr>
                <w:sz w:val="28"/>
                <w:szCs w:val="28"/>
              </w:rPr>
              <w:t xml:space="preserve">Приложение № 3 се попълва и подписва от всички законни представители на кандидата (вкл. прокурист/и, ако е приложимо) (с КЕП или сканирано във формат „pdf“ или „jpg“) и се прикачва към Формуляра за кандидатстване. Когато проектното предложение се подава от упълномощено лице, Приложение № 3 се попълва и подписва от всички </w:t>
            </w:r>
            <w:r w:rsidR="00232371" w:rsidRPr="00CF34E7">
              <w:rPr>
                <w:sz w:val="28"/>
                <w:szCs w:val="28"/>
              </w:rPr>
              <w:lastRenderedPageBreak/>
              <w:t>законни представители на кандидата (вкл. прокурист/и, ако е приложимо) (с КЕП или сканирано във формат „pdf“ или „jpg“) и се прикачва към Формуляра за кандидатстване</w:t>
            </w:r>
            <w:r w:rsidR="00112683">
              <w:rPr>
                <w:sz w:val="28"/>
                <w:szCs w:val="28"/>
              </w:rPr>
              <w:t>.</w:t>
            </w:r>
          </w:p>
          <w:p w:rsidR="00183E79" w:rsidRPr="00CF34E7" w:rsidRDefault="00F86CB9" w:rsidP="00FC71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35649" w:rsidRPr="00CF34E7">
              <w:rPr>
                <w:sz w:val="28"/>
                <w:szCs w:val="28"/>
              </w:rPr>
              <w:t xml:space="preserve">. </w:t>
            </w:r>
            <w:r w:rsidR="00183E79" w:rsidRPr="00CF34E7">
              <w:rPr>
                <w:sz w:val="28"/>
                <w:szCs w:val="28"/>
              </w:rPr>
              <w:t>Декларация за държавни/минимални помощи (Приложение № 4). Приложение № 4 се попълва и подписва от законния представител на кандидата (вкл. прокурист/и, ако е приложимо) (с КЕП или сканирано във формат „pdf“ или „jpg“) и се прикачва към Формуляра за кандидатстване. В случаите, когато кандидатът се представлява само заедно от няколко физически лица, Приложение № 4  се подписва от всяко от тях (с КЕП или сканирано във формат „pdf” или „jpg”)</w:t>
            </w:r>
            <w:r w:rsidR="00112683">
              <w:rPr>
                <w:sz w:val="28"/>
                <w:szCs w:val="28"/>
              </w:rPr>
              <w:t>.</w:t>
            </w:r>
          </w:p>
          <w:p w:rsidR="00B35649" w:rsidRPr="00CF34E7" w:rsidRDefault="00F86CB9" w:rsidP="00313A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35649" w:rsidRPr="00CF34E7">
              <w:rPr>
                <w:sz w:val="28"/>
                <w:szCs w:val="28"/>
              </w:rPr>
              <w:t xml:space="preserve">. </w:t>
            </w:r>
            <w:r w:rsidR="00C15618" w:rsidRPr="00CF34E7">
              <w:rPr>
                <w:sz w:val="28"/>
                <w:szCs w:val="28"/>
              </w:rPr>
              <w:t>Декларация за обстоятелствата по чл. 3 и чл. 4 от Закона за малките и средните предприятия и Справка за обобщените параметри на предприятието (Приложение № 5). Приложение № 5 се попълва и подписва от законния представител на кандидата (вкл. прокурист/и, ако е приложимо) (с КЕП или сканирано във формат „pdf“, „jpg“ или „rar“) и се прикачва към Формуляра за кандидатстване. В случаите, когато кандидатът се представлява само заедно от няколко физически лица, Приложение № 5 се подписва от всяко от тях (с КЕП или сканирано във формат „pdf” или „jpg”)</w:t>
            </w:r>
            <w:r w:rsidR="00112683">
              <w:rPr>
                <w:sz w:val="28"/>
                <w:szCs w:val="28"/>
              </w:rPr>
              <w:t>.</w:t>
            </w:r>
          </w:p>
          <w:p w:rsidR="007D0ECC" w:rsidRPr="00CF34E7" w:rsidRDefault="00F86CB9" w:rsidP="007D0ECC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D5333" w:rsidRPr="00CF34E7">
              <w:rPr>
                <w:sz w:val="28"/>
                <w:szCs w:val="28"/>
              </w:rPr>
              <w:t xml:space="preserve">. </w:t>
            </w:r>
            <w:r w:rsidR="007D0ECC" w:rsidRPr="00CF34E7">
              <w:rPr>
                <w:sz w:val="28"/>
                <w:szCs w:val="28"/>
              </w:rPr>
              <w:t>Документи, относими и отразяващи разпределението на капитала за периода, за който се декларират данни в Декларацията за обстоятелствата по чл. 3 и чл. 4 от Закона за малките и средните предприятия:</w:t>
            </w:r>
          </w:p>
          <w:p w:rsidR="007D0ECC" w:rsidRPr="00CF34E7" w:rsidRDefault="007D0ECC" w:rsidP="007D0ECC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- Справка за разпре</w:t>
            </w:r>
            <w:r w:rsidR="00675D3F" w:rsidRPr="00CF34E7">
              <w:rPr>
                <w:sz w:val="28"/>
                <w:szCs w:val="28"/>
              </w:rPr>
              <w:t>деление капитала на дружеството</w:t>
            </w:r>
            <w:r w:rsidRPr="00CF34E7">
              <w:rPr>
                <w:sz w:val="28"/>
                <w:szCs w:val="28"/>
              </w:rPr>
              <w:t xml:space="preserve"> – приложимо за акционерните дружества въ</w:t>
            </w:r>
            <w:r w:rsidR="00112683">
              <w:rPr>
                <w:sz w:val="28"/>
                <w:szCs w:val="28"/>
              </w:rPr>
              <w:t>в формат „pdf“, „jpg“ или „rar“;</w:t>
            </w:r>
          </w:p>
          <w:p w:rsidR="007D0ECC" w:rsidRPr="00CF34E7" w:rsidRDefault="007D0ECC" w:rsidP="007D0ECC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- Книга за акционерите - приложимо за акционерните дружества с поименни акции във формат „pdf“, „jpg“ или „rar“;</w:t>
            </w:r>
          </w:p>
          <w:p w:rsidR="007D0ECC" w:rsidRPr="00CF34E7" w:rsidRDefault="007D0ECC" w:rsidP="007D0ECC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- Книга за акционерите и устав - приложимо за командитните дружества с акции въ</w:t>
            </w:r>
            <w:r w:rsidR="00112683">
              <w:rPr>
                <w:sz w:val="28"/>
                <w:szCs w:val="28"/>
              </w:rPr>
              <w:t>в формат „pdf“, „jpg“ или „rar“.</w:t>
            </w:r>
          </w:p>
          <w:p w:rsidR="007D0ECC" w:rsidRPr="00CF34E7" w:rsidRDefault="007D0ECC" w:rsidP="007D0ECC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 xml:space="preserve">В случай че кандидатът е в отношения на свързаност и/или партньорство по смисъла на чл. 4 от ЗМСП с трети предприятия, то (при </w:t>
            </w:r>
            <w:r w:rsidR="006557EA" w:rsidRPr="00CF34E7">
              <w:rPr>
                <w:sz w:val="28"/>
                <w:szCs w:val="28"/>
              </w:rPr>
              <w:t>условията на чл. 23, ал. 6 от ЗТРР</w:t>
            </w:r>
            <w:r w:rsidRPr="00CF34E7">
              <w:rPr>
                <w:sz w:val="28"/>
                <w:szCs w:val="28"/>
              </w:rPr>
              <w:t xml:space="preserve">ЮЛНЦ) той трябва да представи документи по настоящата точка и за тези предприятия. За предприятията, с които кандидатите са в отношения на свързаност и/или партньорство и които са установени в държава, различна от Република България, то изискуемите по настоящата точка документи се представят като еквивалентни на гореизброените и </w:t>
            </w:r>
            <w:r w:rsidRPr="00CF34E7">
              <w:rPr>
                <w:sz w:val="28"/>
                <w:szCs w:val="28"/>
              </w:rPr>
              <w:lastRenderedPageBreak/>
              <w:t>издавани съобразно съответното законодателство на държавата, в която предприятията са установени.</w:t>
            </w:r>
          </w:p>
          <w:p w:rsidR="007D0ECC" w:rsidRPr="00CF34E7" w:rsidRDefault="00F86CB9" w:rsidP="007D0ECC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D0ECC" w:rsidRPr="00CF34E7">
              <w:rPr>
                <w:sz w:val="28"/>
                <w:szCs w:val="28"/>
              </w:rPr>
              <w:t xml:space="preserve">. Отчет за приходите и разходите, Счетоводен баланс и Отчет за заетите лица, средствата за работна заплата и други разходи за труд, във </w:t>
            </w:r>
            <w:r w:rsidR="00675D3F" w:rsidRPr="00CF34E7">
              <w:rPr>
                <w:sz w:val="28"/>
                <w:szCs w:val="28"/>
              </w:rPr>
              <w:t>вид</w:t>
            </w:r>
            <w:r w:rsidR="007D0ECC" w:rsidRPr="00CF34E7">
              <w:rPr>
                <w:sz w:val="28"/>
                <w:szCs w:val="28"/>
              </w:rPr>
              <w:t xml:space="preserve"> идентичен на този, в който са подадени към Националния статистически институт (НСИ), за всички свързани предприятия и предприятия-партньори (ако е приложимо) за последните 2 (две) приключени/последователни финансови години във формат „pdf“, „jpg“ или „rar“.</w:t>
            </w:r>
          </w:p>
          <w:p w:rsidR="007D0ECC" w:rsidRPr="00CF34E7" w:rsidRDefault="007D0ECC" w:rsidP="007D0ECC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При установяване на свързани предприятия и/или предприятия-партньори, които не са посочени в Справките за обобщените параметри на предприятието, от кандидата (при условията на чл. 23, ал. 6 от З</w:t>
            </w:r>
            <w:r w:rsidR="00DD46D6" w:rsidRPr="00CF34E7">
              <w:rPr>
                <w:sz w:val="28"/>
                <w:szCs w:val="28"/>
              </w:rPr>
              <w:t>ТРР</w:t>
            </w:r>
            <w:r w:rsidRPr="00CF34E7">
              <w:rPr>
                <w:sz w:val="28"/>
                <w:szCs w:val="28"/>
              </w:rPr>
              <w:t xml:space="preserve">ЮЛНЦ) може да бъде изискано да представи и Отчет за приходите и разходите, Счетоводен баланс и Отчет за заетите лица, средствата за работна заплата и други разходи за труд, във </w:t>
            </w:r>
            <w:r w:rsidR="00777C90" w:rsidRPr="00CF34E7">
              <w:rPr>
                <w:sz w:val="28"/>
                <w:szCs w:val="28"/>
              </w:rPr>
              <w:t>вид</w:t>
            </w:r>
            <w:r w:rsidRPr="00CF34E7">
              <w:rPr>
                <w:sz w:val="28"/>
                <w:szCs w:val="28"/>
              </w:rPr>
              <w:t xml:space="preserve"> идентичен на този, в който са подадени към Националния статистически институт (НСИ), за тези предприятия за последните 2 (две) приключени/последователни финансови години във формат „pdf“, „jpg“ или „rar“.</w:t>
            </w:r>
          </w:p>
          <w:p w:rsidR="007D0ECC" w:rsidRPr="00CF34E7" w:rsidRDefault="007D0ECC" w:rsidP="007D0ECC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Посочените документи или еквивалентни на тях, съобразно законодателството на съответната държава, се представят за всички предприятия независимо от мястото, на което са установени.</w:t>
            </w:r>
          </w:p>
          <w:p w:rsidR="007D0ECC" w:rsidRPr="00CF34E7" w:rsidRDefault="00F86CB9" w:rsidP="007D0ECC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D0ECC" w:rsidRPr="00CF34E7">
              <w:rPr>
                <w:sz w:val="28"/>
                <w:szCs w:val="28"/>
              </w:rPr>
              <w:t>. Консолидирани Отчет за приходите и разходите и Счетоводен баланс (ако е приложимо), за последните 2 (две) приключени/последователни финансови години, в които предприятието запазва своите параметри по чл. 3 от ЗМСП без промяна във формат „pdf“, „jpg“ или „rar“.</w:t>
            </w:r>
          </w:p>
          <w:p w:rsidR="007D0ECC" w:rsidRPr="00CF34E7" w:rsidRDefault="007D0ECC" w:rsidP="007D0ECC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CF34E7">
              <w:rPr>
                <w:sz w:val="28"/>
                <w:szCs w:val="28"/>
              </w:rPr>
              <w:t>Документите се представят в случай че кандидатът съставя консолидиран финансов отчет или е включено чрез консолидиране в консолидирания финансов отчет на друго предприятие.</w:t>
            </w:r>
          </w:p>
          <w:p w:rsidR="00BD5333" w:rsidRPr="00CF34E7" w:rsidRDefault="00F86CB9" w:rsidP="007D0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D0ECC" w:rsidRPr="00CF34E7">
              <w:rPr>
                <w:sz w:val="28"/>
                <w:szCs w:val="28"/>
              </w:rPr>
              <w:t>. Документи, удостоверяващи актуалното състояние и реалните собственици на съответното предприятие (ако е приложимо), в случай че някое от свързаните предприятия или предприятията - партньори е чуждестранно лице във формат „pdf“, „jpg“ или „rar“.</w:t>
            </w:r>
            <w:r w:rsidR="00BD5333" w:rsidRPr="00CF34E7">
              <w:rPr>
                <w:sz w:val="28"/>
                <w:szCs w:val="28"/>
              </w:rPr>
              <w:t xml:space="preserve"> </w:t>
            </w:r>
          </w:p>
          <w:p w:rsidR="00B35649" w:rsidRPr="00FD264A" w:rsidRDefault="00F86CB9" w:rsidP="00F86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35649" w:rsidRPr="00CF34E7">
              <w:rPr>
                <w:sz w:val="28"/>
                <w:szCs w:val="28"/>
              </w:rPr>
              <w:t xml:space="preserve">. </w:t>
            </w:r>
            <w:r w:rsidR="00C702D4" w:rsidRPr="00C702D4">
              <w:rPr>
                <w:sz w:val="28"/>
                <w:szCs w:val="28"/>
              </w:rPr>
              <w:t xml:space="preserve">Спецификация на стоките/описание на услугите (Приложение № 6) Попълва се от кандидати възложители по ЗОП или в случай на възлагане на дейности под обхвата на ПМС №80/2022 г. Приложение № 6 се попълва и подписва от законния представител на кандидата (вкл. прокурист/и, ако е приложимо) (с КЕП или сканирано във формат „pdf“ или „jpg“) и се </w:t>
            </w:r>
            <w:r w:rsidR="00C702D4" w:rsidRPr="00C702D4">
              <w:rPr>
                <w:sz w:val="28"/>
                <w:szCs w:val="28"/>
              </w:rPr>
              <w:lastRenderedPageBreak/>
              <w:t>прикачва към Формуляра за кандидатстване, секция „Прикачени документи“, поле „Списък на обществените поръчки, в процес на провеждане и вече проведени“</w:t>
            </w:r>
            <w:r w:rsidR="00112683">
              <w:rPr>
                <w:sz w:val="28"/>
                <w:szCs w:val="28"/>
              </w:rPr>
              <w:t>.</w:t>
            </w:r>
          </w:p>
          <w:p w:rsidR="00B35649" w:rsidRDefault="00B65C31" w:rsidP="00FC71F3">
            <w:pPr>
              <w:jc w:val="both"/>
              <w:rPr>
                <w:sz w:val="28"/>
                <w:szCs w:val="28"/>
              </w:rPr>
            </w:pPr>
            <w:r w:rsidRPr="00FD264A">
              <w:rPr>
                <w:sz w:val="28"/>
                <w:szCs w:val="28"/>
              </w:rPr>
              <w:t>11</w:t>
            </w:r>
            <w:r w:rsidR="00B35649" w:rsidRPr="00FD264A">
              <w:rPr>
                <w:sz w:val="28"/>
                <w:szCs w:val="28"/>
              </w:rPr>
              <w:t xml:space="preserve">. </w:t>
            </w:r>
            <w:r w:rsidR="00AD4C7A" w:rsidRPr="00FD264A">
              <w:rPr>
                <w:sz w:val="28"/>
                <w:szCs w:val="28"/>
              </w:rPr>
              <w:t xml:space="preserve">Справка-декларация за всички проекти с публично финансиране, по които кандидатът работи. В случаите, когато няма известен резултат към момента на подаване на предложението се декларира като очаквано финансиране </w:t>
            </w:r>
            <w:r w:rsidR="00B35649" w:rsidRPr="00FD264A">
              <w:rPr>
                <w:sz w:val="28"/>
                <w:szCs w:val="28"/>
              </w:rPr>
              <w:t>(Приложение № 7). Приложение № 7 се попълва и подписва от законния представител на кандидата (вкл. прокурист/и, ако е приложимо) (с КЕП или сканирано във формат „pdf“ или „jpg“) и се прикачва към Формуляра за кандидатстване.</w:t>
            </w:r>
          </w:p>
          <w:p w:rsidR="009C2361" w:rsidRPr="00CF34E7" w:rsidRDefault="00B65C31" w:rsidP="009C2361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C2361" w:rsidRPr="00B95EBD">
              <w:rPr>
                <w:sz w:val="28"/>
                <w:szCs w:val="28"/>
              </w:rPr>
              <w:t xml:space="preserve">. Списък на планирани, в процес на провеждане и проведени обществени поръчки, независимо от източника на финансиране </w:t>
            </w:r>
            <w:r w:rsidR="009C2361" w:rsidRPr="00893F8F">
              <w:rPr>
                <w:sz w:val="28"/>
                <w:szCs w:val="28"/>
                <w:lang w:val="ru-RU"/>
              </w:rPr>
              <w:t>(</w:t>
            </w:r>
            <w:r w:rsidR="009C2361" w:rsidRPr="00B95EBD">
              <w:rPr>
                <w:sz w:val="28"/>
                <w:szCs w:val="28"/>
              </w:rPr>
              <w:t>Приложение № 8</w:t>
            </w:r>
            <w:r w:rsidR="009C2361" w:rsidRPr="00893F8F">
              <w:rPr>
                <w:sz w:val="28"/>
                <w:szCs w:val="28"/>
                <w:lang w:val="ru-RU"/>
              </w:rPr>
              <w:t>)</w:t>
            </w:r>
            <w:r w:rsidR="009C2361" w:rsidRPr="00B95EBD">
              <w:rPr>
                <w:sz w:val="28"/>
                <w:szCs w:val="28"/>
              </w:rPr>
              <w:t xml:space="preserve"> Приложение № 8 се попълва и подписва от законния представител на кандидата (вкл. прокурист/и, ако е приложимо) (с КЕП или сканирано във формат „pdf“ или „jpg“) и се прикачва към Формуляра за кандидатстване</w:t>
            </w:r>
            <w:r w:rsidR="00112683">
              <w:rPr>
                <w:sz w:val="28"/>
                <w:szCs w:val="28"/>
              </w:rPr>
              <w:t>.</w:t>
            </w:r>
          </w:p>
          <w:p w:rsidR="00B35649" w:rsidRDefault="00B65C31" w:rsidP="00FC71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35649" w:rsidRPr="00CF34E7">
              <w:rPr>
                <w:sz w:val="28"/>
                <w:szCs w:val="28"/>
              </w:rPr>
              <w:t xml:space="preserve">. </w:t>
            </w:r>
            <w:r w:rsidR="003B485B" w:rsidRPr="00CF34E7">
              <w:rPr>
                <w:sz w:val="28"/>
                <w:szCs w:val="28"/>
              </w:rPr>
              <w:t xml:space="preserve">Списък на лицата, свързани със създаването, представянето и/или адаптирането на културния продукт </w:t>
            </w:r>
            <w:r w:rsidR="00B35649" w:rsidRPr="00CF34E7">
              <w:rPr>
                <w:sz w:val="28"/>
                <w:szCs w:val="28"/>
              </w:rPr>
              <w:t xml:space="preserve"> (Приложение № 14). </w:t>
            </w:r>
            <w:r w:rsidR="003B485B" w:rsidRPr="00CF34E7">
              <w:rPr>
                <w:sz w:val="28"/>
                <w:szCs w:val="28"/>
              </w:rPr>
              <w:t>Приложение № 14 се попълва и подписва от законния представител на кандидата (вкл. прокурист/и, ако е приложимо) (с КЕП или сканирано във формат „pdf“ или „jpg“) и се прикачва към Формуляра за кандидатстване</w:t>
            </w:r>
            <w:r w:rsidR="00B35649" w:rsidRPr="00CF34E7">
              <w:rPr>
                <w:sz w:val="28"/>
                <w:szCs w:val="28"/>
              </w:rPr>
              <w:t>.</w:t>
            </w:r>
          </w:p>
          <w:p w:rsidR="008A6D26" w:rsidRPr="00B65C31" w:rsidRDefault="008A6D26" w:rsidP="008A6D26">
            <w:pPr>
              <w:pStyle w:val="CommentText"/>
              <w:jc w:val="both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 w:rsidR="00B65C31">
              <w:rPr>
                <w:sz w:val="28"/>
                <w:szCs w:val="28"/>
                <w:lang w:val="bg-BG"/>
              </w:rPr>
              <w:t>4</w:t>
            </w:r>
            <w:r w:rsidRPr="00CF34E7">
              <w:rPr>
                <w:sz w:val="28"/>
                <w:szCs w:val="28"/>
                <w:lang w:val="bg-BG"/>
              </w:rPr>
              <w:t>. Д</w:t>
            </w:r>
            <w:r w:rsidRPr="00B65C31">
              <w:rPr>
                <w:sz w:val="28"/>
                <w:szCs w:val="28"/>
                <w:lang w:val="bg-BG"/>
              </w:rPr>
              <w:t>екларация за поемане на ангажимент (Приложение № 15).</w:t>
            </w:r>
            <w:r w:rsidRPr="00B65C31">
              <w:rPr>
                <w:lang w:val="bg-BG"/>
              </w:rPr>
              <w:t xml:space="preserve"> </w:t>
            </w:r>
            <w:r w:rsidRPr="00B65C31">
              <w:rPr>
                <w:sz w:val="28"/>
                <w:szCs w:val="28"/>
                <w:lang w:val="bg-BG"/>
              </w:rPr>
              <w:t>Приложение № 15 се попълва и подписва от всеки член на екипа (с КЕП или сканирано във формат „pdf“ или „jpg“) и се прикачва към Формуляра за кандидатстване.</w:t>
            </w:r>
          </w:p>
          <w:p w:rsidR="00A27D54" w:rsidRPr="00B65C31" w:rsidRDefault="00B65C31" w:rsidP="00A27D54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B65C31">
              <w:rPr>
                <w:sz w:val="28"/>
                <w:szCs w:val="28"/>
              </w:rPr>
              <w:t>15</w:t>
            </w:r>
            <w:r w:rsidR="00A27D54" w:rsidRPr="00B65C31">
              <w:rPr>
                <w:sz w:val="28"/>
                <w:szCs w:val="28"/>
              </w:rPr>
              <w:t>. Когато кандидатът е възложител по ЗОП/възлагането на дейностите попада под обхвата на ПМС № 80/2022 г., кандидатът представя документи, доказващи направените пазарни проучвания в т.ч. получени реални оферти и/или други документи с доказателствена стойност въз основа, на които е направен бюджета в ПИИ. Офертата, както и всеки друг документ с аналогична доказателствена стойност следва да съдържа наименование на оферента/издателя, датата на издаване, подпис на оферента/издателя,  спецификация на стоките/описание на услугите, цена, определена в левове или евро с посочен ДДС. От всеки предоставен документ следва да е видно лицето, което го е издал, като напр. име, подпис, електронен подпис или разпечатка на електронно съобщение, с което е получен документа, която също следва да е прикачена в ИСМ-</w:t>
            </w:r>
            <w:r w:rsidR="00A27D54" w:rsidRPr="00B65C31">
              <w:rPr>
                <w:sz w:val="28"/>
                <w:szCs w:val="28"/>
              </w:rPr>
              <w:lastRenderedPageBreak/>
              <w:t>ИСУН 2020, раздел НПВУ. Документите се прикачват към Формуляра за кандидатстване във формат „pdf“, „jpg“ или „rar“</w:t>
            </w:r>
            <w:r w:rsidR="00112683">
              <w:rPr>
                <w:sz w:val="28"/>
                <w:szCs w:val="28"/>
              </w:rPr>
              <w:t>.</w:t>
            </w:r>
          </w:p>
          <w:p w:rsidR="00A27D54" w:rsidRPr="00B65C31" w:rsidRDefault="00B65C31" w:rsidP="00A27D54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B65C31">
              <w:rPr>
                <w:sz w:val="28"/>
                <w:szCs w:val="28"/>
              </w:rPr>
              <w:t>16</w:t>
            </w:r>
            <w:r w:rsidR="00A27D54" w:rsidRPr="00B65C31">
              <w:rPr>
                <w:sz w:val="28"/>
                <w:szCs w:val="28"/>
              </w:rPr>
              <w:t>. Когато кандидатът не е възложител по ЗОП/възлагането на дейностите не попада под обхвата на ПМС №80/2022 г., НФК определя следното „специфично правило“ за избор на изпълнител - когато е налице пазар за дадената стока или услуга, кандидатът задължително представя най-малко две съпоставими независими оферти, които съдържат наименование на оферента, срока на валидност на офертата, датата на издаване на офертата и подпис на оферента, подробна спецификация на стоките/описание на услугите, цена в левове или евро с посочен ДДС. Кандидатът задължително  представя мотивирана обосновка за направения избор на оферта.</w:t>
            </w:r>
          </w:p>
          <w:p w:rsidR="00A27D54" w:rsidRPr="00B65C31" w:rsidRDefault="00A27D54" w:rsidP="00A27D54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B65C31">
              <w:rPr>
                <w:sz w:val="28"/>
                <w:szCs w:val="28"/>
              </w:rPr>
              <w:t xml:space="preserve">Съпоставими оферти са тези, отнасящи се до предлагане на еднотипна стока/еднотипна услуга. </w:t>
            </w:r>
          </w:p>
          <w:p w:rsidR="00A27D54" w:rsidRPr="00B65C31" w:rsidRDefault="00A27D54" w:rsidP="00A27D54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B65C31">
              <w:rPr>
                <w:sz w:val="28"/>
                <w:szCs w:val="28"/>
              </w:rPr>
              <w:t xml:space="preserve">Независими оферти са оферти, подадени от лица, които не се намират в следната свързаност помежду си или спрямо кандидата: </w:t>
            </w:r>
          </w:p>
          <w:p w:rsidR="00A27D54" w:rsidRPr="00B65C31" w:rsidRDefault="00A27D54" w:rsidP="00A27D54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B65C31">
              <w:rPr>
                <w:sz w:val="28"/>
                <w:szCs w:val="28"/>
              </w:rPr>
              <w:t>а) едното участва в управлението на дружеството на другото;</w:t>
            </w:r>
          </w:p>
          <w:p w:rsidR="00A27D54" w:rsidRPr="00B65C31" w:rsidRDefault="00A27D54" w:rsidP="00A27D54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B65C31">
              <w:rPr>
                <w:sz w:val="28"/>
                <w:szCs w:val="28"/>
              </w:rPr>
              <w:t>б) съдружници;</w:t>
            </w:r>
          </w:p>
          <w:p w:rsidR="00A27D54" w:rsidRPr="00B65C31" w:rsidRDefault="00A27D54" w:rsidP="00A27D54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B65C31">
              <w:rPr>
                <w:sz w:val="28"/>
                <w:szCs w:val="28"/>
              </w:rPr>
              <w:t>в) съвместно контролират пряко трето лице;</w:t>
            </w:r>
          </w:p>
          <w:p w:rsidR="00A27D54" w:rsidRPr="00B65C31" w:rsidRDefault="00A27D54" w:rsidP="00A27D54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B65C31">
              <w:rPr>
                <w:sz w:val="28"/>
                <w:szCs w:val="28"/>
              </w:rPr>
              <w:t>г) участват пряко в управлението или капитала на друго лице, поради което между тях могат да се уговарят условия, различни от обичайните;</w:t>
            </w:r>
          </w:p>
          <w:p w:rsidR="00A27D54" w:rsidRPr="00B65C31" w:rsidRDefault="00A27D54" w:rsidP="00A27D54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B65C31">
              <w:rPr>
                <w:sz w:val="28"/>
                <w:szCs w:val="28"/>
              </w:rPr>
              <w:t>д) едното лице притежава повече от половината от броя на гласовете в общото събрание на другото лице;</w:t>
            </w:r>
          </w:p>
          <w:p w:rsidR="00A27D54" w:rsidRPr="00B65C31" w:rsidRDefault="00A27D54" w:rsidP="00A27D54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B65C31">
              <w:rPr>
                <w:sz w:val="28"/>
                <w:szCs w:val="28"/>
              </w:rPr>
              <w:t>е) лицата, чиято дейност се контролира пряко или косвено от трето лице – физическо или юридическо;</w:t>
            </w:r>
          </w:p>
          <w:p w:rsidR="00A27D54" w:rsidRPr="00B65C31" w:rsidRDefault="00A27D54" w:rsidP="00A27D54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B65C31">
              <w:rPr>
                <w:sz w:val="28"/>
                <w:szCs w:val="28"/>
              </w:rPr>
              <w:t>ж) лицата, едното от които е търговски представител на другото.</w:t>
            </w:r>
          </w:p>
          <w:p w:rsidR="00A27D54" w:rsidRPr="00B65C31" w:rsidRDefault="00A27D54" w:rsidP="00A27D54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B65C31">
              <w:rPr>
                <w:sz w:val="28"/>
                <w:szCs w:val="28"/>
              </w:rPr>
              <w:t>Документите се прикачват към Формуляра за кандидатстване във формат „pdf“, „jpg“ или „rar“</w:t>
            </w:r>
            <w:r w:rsidR="00112683">
              <w:rPr>
                <w:sz w:val="28"/>
                <w:szCs w:val="28"/>
              </w:rPr>
              <w:t>.</w:t>
            </w:r>
          </w:p>
          <w:p w:rsidR="00A27D54" w:rsidRPr="00893F8F" w:rsidRDefault="00B65C31" w:rsidP="00A27D54">
            <w:pPr>
              <w:spacing w:before="120" w:after="120" w:line="240" w:lineRule="auto"/>
              <w:jc w:val="both"/>
              <w:rPr>
                <w:sz w:val="28"/>
                <w:szCs w:val="28"/>
                <w:lang w:val="ru-RU"/>
              </w:rPr>
            </w:pPr>
            <w:r w:rsidRPr="00B65C31">
              <w:rPr>
                <w:sz w:val="28"/>
                <w:szCs w:val="28"/>
              </w:rPr>
              <w:t>17</w:t>
            </w:r>
            <w:r w:rsidR="00A27D54" w:rsidRPr="00B65C31">
              <w:rPr>
                <w:sz w:val="28"/>
                <w:szCs w:val="28"/>
              </w:rPr>
              <w:t>. Други специфични документи в зависимост от заявените разходи по ПИИ, въз основа, на които е направен бюджет</w:t>
            </w:r>
            <w:r w:rsidR="00B31317">
              <w:rPr>
                <w:sz w:val="28"/>
                <w:szCs w:val="28"/>
              </w:rPr>
              <w:t>ът</w:t>
            </w:r>
            <w:r w:rsidR="00A27D54" w:rsidRPr="00B65C31">
              <w:rPr>
                <w:sz w:val="28"/>
                <w:szCs w:val="28"/>
              </w:rPr>
              <w:t>. Представят се и в случаите,</w:t>
            </w:r>
            <w:r w:rsidR="00A27D54" w:rsidRPr="00B65C31">
              <w:t xml:space="preserve"> </w:t>
            </w:r>
            <w:r w:rsidR="00A27D54" w:rsidRPr="00B65C31">
              <w:rPr>
                <w:sz w:val="28"/>
                <w:szCs w:val="28"/>
              </w:rPr>
              <w:t xml:space="preserve">когато не е налице пазар за дадената стока или услуга. </w:t>
            </w:r>
          </w:p>
          <w:p w:rsidR="00A27D54" w:rsidRPr="008A6D26" w:rsidRDefault="00A27D54" w:rsidP="009D1092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 w:rsidRPr="00B65C31">
              <w:rPr>
                <w:sz w:val="28"/>
                <w:szCs w:val="28"/>
              </w:rPr>
              <w:t>Индикативен списък на документите по видове разходи, които ще бъдат признати от СНД на етап кандидатстване е представен в приложение към настоящите Условия за кандидатстване (Приложение № 9)</w:t>
            </w:r>
            <w:r w:rsidR="00112683">
              <w:rPr>
                <w:sz w:val="28"/>
                <w:szCs w:val="28"/>
              </w:rPr>
              <w:t>.</w:t>
            </w:r>
          </w:p>
          <w:p w:rsidR="00970CB4" w:rsidRPr="00CF34E7" w:rsidRDefault="00970CB4" w:rsidP="00FC71F3">
            <w:pPr>
              <w:pStyle w:val="CommentText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CF34E7">
              <w:rPr>
                <w:sz w:val="28"/>
                <w:szCs w:val="28"/>
                <w:lang w:val="bg-BG"/>
              </w:rPr>
              <w:t>1</w:t>
            </w:r>
            <w:r w:rsidR="00B65C31">
              <w:rPr>
                <w:sz w:val="28"/>
                <w:szCs w:val="28"/>
                <w:lang w:val="bg-BG"/>
              </w:rPr>
              <w:t>8</w:t>
            </w:r>
            <w:r w:rsidRPr="00CF34E7">
              <w:rPr>
                <w:sz w:val="28"/>
                <w:szCs w:val="28"/>
                <w:lang w:val="bg-BG"/>
              </w:rPr>
              <w:t xml:space="preserve">. Акт за създаване на културната организация (за държавните, </w:t>
            </w:r>
            <w:r w:rsidRPr="00CF34E7">
              <w:rPr>
                <w:sz w:val="28"/>
                <w:szCs w:val="28"/>
                <w:lang w:val="bg-BG"/>
              </w:rPr>
              <w:lastRenderedPageBreak/>
              <w:t>общинските и регионалните културни институти, създадени съгласно чл. 4, ал. 1 от Закона за закрила и развитие на културата)</w:t>
            </w:r>
            <w:r w:rsidR="00CC3AFE">
              <w:rPr>
                <w:sz w:val="28"/>
                <w:szCs w:val="28"/>
                <w:lang w:val="bg-BG"/>
              </w:rPr>
              <w:t>.</w:t>
            </w:r>
            <w:r w:rsidRPr="00CF34E7">
              <w:rPr>
                <w:sz w:val="28"/>
                <w:szCs w:val="28"/>
                <w:lang w:val="bg-BG"/>
              </w:rPr>
              <w:t xml:space="preserve"> </w:t>
            </w:r>
            <w:r w:rsidR="00CC3AFE" w:rsidRPr="00CC3AFE">
              <w:rPr>
                <w:sz w:val="28"/>
                <w:szCs w:val="28"/>
                <w:lang w:val="bg-BG"/>
              </w:rPr>
              <w:t>Документът се прикачва към Формуляра за кандидатстване във формат „pdf“, „jpg“ или „rar“</w:t>
            </w:r>
            <w:r w:rsidR="00112683">
              <w:rPr>
                <w:sz w:val="28"/>
                <w:szCs w:val="28"/>
                <w:lang w:val="bg-BG"/>
              </w:rPr>
              <w:t>.</w:t>
            </w:r>
          </w:p>
          <w:p w:rsidR="00970CB4" w:rsidRPr="00CF34E7" w:rsidRDefault="00970CB4" w:rsidP="00FC71F3">
            <w:pPr>
              <w:pStyle w:val="CommentText"/>
              <w:jc w:val="both"/>
              <w:rPr>
                <w:sz w:val="28"/>
                <w:szCs w:val="28"/>
                <w:lang w:val="bg-BG"/>
              </w:rPr>
            </w:pPr>
            <w:r w:rsidRPr="00CF34E7">
              <w:rPr>
                <w:rFonts w:eastAsia="Calibri"/>
                <w:sz w:val="28"/>
                <w:szCs w:val="28"/>
                <w:lang w:val="bg-BG"/>
              </w:rPr>
              <w:t>1</w:t>
            </w:r>
            <w:r w:rsidR="00B65C31">
              <w:rPr>
                <w:rFonts w:eastAsia="Calibri"/>
                <w:sz w:val="28"/>
                <w:szCs w:val="28"/>
                <w:lang w:val="bg-BG"/>
              </w:rPr>
              <w:t>9</w:t>
            </w:r>
            <w:r w:rsidR="001B274E">
              <w:rPr>
                <w:rFonts w:eastAsia="Calibri"/>
                <w:sz w:val="28"/>
                <w:szCs w:val="28"/>
                <w:lang w:val="bg-BG"/>
              </w:rPr>
              <w:t>. Утвърден р</w:t>
            </w:r>
            <w:r w:rsidRPr="00CF34E7">
              <w:rPr>
                <w:rFonts w:eastAsia="Calibri"/>
                <w:sz w:val="28"/>
                <w:szCs w:val="28"/>
                <w:lang w:val="bg-BG"/>
              </w:rPr>
              <w:t>епертоарен план</w:t>
            </w:r>
            <w:r w:rsidR="00E22F3B">
              <w:rPr>
                <w:rFonts w:eastAsia="Calibri"/>
                <w:sz w:val="28"/>
                <w:szCs w:val="28"/>
                <w:lang w:val="bg-BG"/>
              </w:rPr>
              <w:t>.</w:t>
            </w:r>
            <w:r w:rsidRPr="00CF34E7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="00E22F3B" w:rsidRPr="00E22F3B">
              <w:rPr>
                <w:sz w:val="28"/>
                <w:szCs w:val="28"/>
                <w:lang w:val="bg-BG"/>
              </w:rPr>
              <w:t>Документът се прикачва към Формуляра за кандидатстване във формат „pdf“, „jpg“ или „rar“</w:t>
            </w:r>
            <w:r w:rsidRPr="00CF34E7">
              <w:rPr>
                <w:sz w:val="28"/>
                <w:szCs w:val="28"/>
                <w:lang w:val="bg-BG"/>
              </w:rPr>
              <w:t>.</w:t>
            </w:r>
          </w:p>
          <w:p w:rsidR="00581734" w:rsidRPr="00A71C96" w:rsidRDefault="00B65C31" w:rsidP="00B65C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  <w:r w:rsidR="002B6B67" w:rsidRPr="00CF34E7">
              <w:rPr>
                <w:rFonts w:eastAsia="Calibri"/>
                <w:sz w:val="28"/>
                <w:szCs w:val="28"/>
              </w:rPr>
              <w:t xml:space="preserve">. </w:t>
            </w:r>
            <w:r w:rsidR="00B35649" w:rsidRPr="00CF34E7">
              <w:rPr>
                <w:rFonts w:eastAsia="Calibri"/>
                <w:sz w:val="28"/>
                <w:szCs w:val="28"/>
              </w:rPr>
              <w:t xml:space="preserve">Специфични документи, обосноваващи заявения брой точки. Документите </w:t>
            </w:r>
            <w:r w:rsidRPr="00B65C31">
              <w:rPr>
                <w:rFonts w:eastAsia="Calibri"/>
                <w:sz w:val="28"/>
                <w:szCs w:val="28"/>
              </w:rPr>
              <w:t>се прикачва</w:t>
            </w:r>
            <w:r>
              <w:rPr>
                <w:rFonts w:eastAsia="Calibri"/>
                <w:sz w:val="28"/>
                <w:szCs w:val="28"/>
              </w:rPr>
              <w:t>т</w:t>
            </w:r>
            <w:r w:rsidRPr="00B65C31">
              <w:rPr>
                <w:rFonts w:eastAsia="Calibri"/>
                <w:sz w:val="28"/>
                <w:szCs w:val="28"/>
              </w:rPr>
              <w:t xml:space="preserve"> към Формуляра за кандидатстване, секция „Прикачени документи“, поле „Документи, обосноваващи заявения брой точки“ ведно с </w:t>
            </w:r>
            <w:r>
              <w:rPr>
                <w:rFonts w:eastAsia="Calibri"/>
                <w:sz w:val="28"/>
                <w:szCs w:val="28"/>
              </w:rPr>
              <w:t>Приложение № 2 Критерии за оценка</w:t>
            </w:r>
            <w:r w:rsidRPr="00B65C31">
              <w:rPr>
                <w:rFonts w:eastAsia="Calibri"/>
                <w:sz w:val="28"/>
                <w:szCs w:val="28"/>
              </w:rPr>
              <w:t>. Всички документи относими към обосновката на заявения брой точки се прикач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Pr="00B65C31">
              <w:rPr>
                <w:rFonts w:eastAsia="Calibri"/>
                <w:sz w:val="28"/>
                <w:szCs w:val="28"/>
              </w:rPr>
              <w:t>ат в структуриран хронологичен ред и архивирани във формат „rar”, „.zip” или „7z”.</w:t>
            </w:r>
          </w:p>
        </w:tc>
      </w:tr>
    </w:tbl>
    <w:p w:rsidR="000578BC" w:rsidRPr="00CF34E7" w:rsidRDefault="00084D2E" w:rsidP="00CD1C33">
      <w:pPr>
        <w:pStyle w:val="Heading1"/>
        <w:spacing w:before="120" w:after="120"/>
        <w:ind w:left="709"/>
        <w:rPr>
          <w:rFonts w:ascii="Times New Roman" w:eastAsia="Cambria" w:hAnsi="Times New Roman" w:cs="Times New Roman"/>
          <w:color w:val="0070C0"/>
          <w:lang w:val="bg-BG"/>
        </w:rPr>
      </w:pPr>
      <w:bookmarkStart w:id="23" w:name="_Toc151332358"/>
      <w:r w:rsidRPr="00CF34E7">
        <w:rPr>
          <w:rFonts w:ascii="Times New Roman" w:eastAsia="Cambria" w:hAnsi="Times New Roman" w:cs="Times New Roman"/>
          <w:color w:val="0070C0"/>
          <w:lang w:val="bg-BG"/>
        </w:rPr>
        <w:lastRenderedPageBreak/>
        <w:t>Краен срок за подаване на проектните предложения</w:t>
      </w:r>
      <w:bookmarkEnd w:id="23"/>
    </w:p>
    <w:tbl>
      <w:tblPr>
        <w:tblStyle w:val="affff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51"/>
      </w:tblGrid>
      <w:tr w:rsidR="008F6B0C" w:rsidRPr="00CF34E7">
        <w:tc>
          <w:tcPr>
            <w:tcW w:w="9351" w:type="dxa"/>
          </w:tcPr>
          <w:p w:rsidR="00816837" w:rsidRPr="00CF34E7" w:rsidRDefault="00816837" w:rsidP="007420EF">
            <w:pPr>
              <w:jc w:val="both"/>
              <w:rPr>
                <w:color w:val="FF0000"/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Ще се прилага процедура чрез подбор на ПИИ от крайни получатели с четири крайни срока за кандидатстване. </w:t>
            </w:r>
          </w:p>
          <w:p w:rsidR="00816837" w:rsidRPr="00F90796" w:rsidRDefault="00816837" w:rsidP="007420EF">
            <w:pPr>
              <w:jc w:val="both"/>
              <w:rPr>
                <w:sz w:val="28"/>
                <w:szCs w:val="28"/>
                <w:lang/>
              </w:rPr>
            </w:pPr>
            <w:r w:rsidRPr="00F90796">
              <w:rPr>
                <w:sz w:val="28"/>
                <w:szCs w:val="28"/>
                <w:lang/>
              </w:rPr>
              <w:t>Крайният срок за подаване на ПИИ на първа сесия по настоя</w:t>
            </w:r>
            <w:r w:rsidR="00F90796" w:rsidRPr="00F90796">
              <w:rPr>
                <w:sz w:val="28"/>
                <w:szCs w:val="28"/>
                <w:lang/>
              </w:rPr>
              <w:t>щата процедура е 17:00 часа на 24.04.2024</w:t>
            </w:r>
            <w:r w:rsidRPr="00F90796">
              <w:rPr>
                <w:sz w:val="28"/>
                <w:szCs w:val="28"/>
                <w:lang/>
              </w:rPr>
              <w:t xml:space="preserve"> г.</w:t>
            </w:r>
          </w:p>
          <w:p w:rsidR="00415D66" w:rsidRPr="00F90796" w:rsidRDefault="00415D66" w:rsidP="00415D66">
            <w:pPr>
              <w:jc w:val="both"/>
              <w:rPr>
                <w:sz w:val="28"/>
                <w:szCs w:val="28"/>
                <w:lang/>
              </w:rPr>
            </w:pPr>
            <w:r w:rsidRPr="00F90796">
              <w:rPr>
                <w:sz w:val="28"/>
                <w:szCs w:val="28"/>
                <w:lang/>
              </w:rPr>
              <w:t>Крайният срок за подаване на ПИИ на втора сесия по настоя</w:t>
            </w:r>
            <w:r w:rsidR="00F90796" w:rsidRPr="00F90796">
              <w:rPr>
                <w:sz w:val="28"/>
                <w:szCs w:val="28"/>
                <w:lang/>
              </w:rPr>
              <w:t>щата процедура е 17:00 часа на 02.07.2024</w:t>
            </w:r>
            <w:r w:rsidRPr="00F90796">
              <w:rPr>
                <w:sz w:val="28"/>
                <w:szCs w:val="28"/>
                <w:lang/>
              </w:rPr>
              <w:t xml:space="preserve"> г.</w:t>
            </w:r>
          </w:p>
          <w:p w:rsidR="00415D66" w:rsidRPr="00F90796" w:rsidRDefault="00415D66" w:rsidP="00415D66">
            <w:pPr>
              <w:jc w:val="both"/>
              <w:rPr>
                <w:sz w:val="28"/>
                <w:szCs w:val="28"/>
                <w:lang/>
              </w:rPr>
            </w:pPr>
            <w:r w:rsidRPr="00F90796">
              <w:rPr>
                <w:sz w:val="28"/>
                <w:szCs w:val="28"/>
                <w:lang/>
              </w:rPr>
              <w:t>Крайният срок за подаване на ПИИ на трета сеси</w:t>
            </w:r>
            <w:r w:rsidR="00F90796" w:rsidRPr="00F90796">
              <w:rPr>
                <w:sz w:val="28"/>
                <w:szCs w:val="28"/>
                <w:lang/>
              </w:rPr>
              <w:t>я по настоящата процедура е 17:0</w:t>
            </w:r>
            <w:r w:rsidRPr="00F90796">
              <w:rPr>
                <w:sz w:val="28"/>
                <w:szCs w:val="28"/>
                <w:lang/>
              </w:rPr>
              <w:t xml:space="preserve">0 часа на </w:t>
            </w:r>
            <w:r w:rsidR="00F90796" w:rsidRPr="00F90796">
              <w:rPr>
                <w:sz w:val="28"/>
                <w:szCs w:val="28"/>
                <w:lang/>
              </w:rPr>
              <w:t>02.09.2024</w:t>
            </w:r>
            <w:r w:rsidRPr="00F90796">
              <w:rPr>
                <w:sz w:val="28"/>
                <w:szCs w:val="28"/>
                <w:lang/>
              </w:rPr>
              <w:t xml:space="preserve"> г.</w:t>
            </w:r>
          </w:p>
          <w:p w:rsidR="00415D66" w:rsidRPr="00CF34E7" w:rsidRDefault="00415D66" w:rsidP="007420EF">
            <w:pPr>
              <w:jc w:val="both"/>
              <w:rPr>
                <w:sz w:val="28"/>
                <w:szCs w:val="28"/>
                <w:lang/>
              </w:rPr>
            </w:pPr>
            <w:r w:rsidRPr="00F90796">
              <w:rPr>
                <w:sz w:val="28"/>
                <w:szCs w:val="28"/>
                <w:lang/>
              </w:rPr>
              <w:t>Крайният срок за подаване на ПИИ на четвърта сеси</w:t>
            </w:r>
            <w:r w:rsidR="00F90796" w:rsidRPr="00F90796">
              <w:rPr>
                <w:sz w:val="28"/>
                <w:szCs w:val="28"/>
                <w:lang/>
              </w:rPr>
              <w:t>я по настоящата процедура е 17:0</w:t>
            </w:r>
            <w:r w:rsidRPr="00F90796">
              <w:rPr>
                <w:sz w:val="28"/>
                <w:szCs w:val="28"/>
                <w:lang/>
              </w:rPr>
              <w:t xml:space="preserve">0 часа на </w:t>
            </w:r>
            <w:r w:rsidR="00F90796" w:rsidRPr="00F90796">
              <w:rPr>
                <w:sz w:val="28"/>
                <w:szCs w:val="28"/>
                <w:lang/>
              </w:rPr>
              <w:t>06.11.2024</w:t>
            </w:r>
            <w:r w:rsidRPr="00F90796">
              <w:rPr>
                <w:sz w:val="28"/>
                <w:szCs w:val="28"/>
                <w:lang/>
              </w:rPr>
              <w:t xml:space="preserve"> г.</w:t>
            </w:r>
          </w:p>
          <w:p w:rsidR="00816837" w:rsidRPr="00CF34E7" w:rsidRDefault="00816837" w:rsidP="007420EF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>Срокът за подаване на предложения по процедурата може да се удължава:</w:t>
            </w:r>
          </w:p>
          <w:p w:rsidR="00816837" w:rsidRPr="00CF34E7" w:rsidRDefault="00816837" w:rsidP="007420EF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1. при изменение на документите по настоящите </w:t>
            </w:r>
            <w:r w:rsidR="000B4EE7">
              <w:rPr>
                <w:sz w:val="28"/>
                <w:szCs w:val="28"/>
                <w:lang/>
              </w:rPr>
              <w:t>Условия</w:t>
            </w:r>
            <w:r w:rsidRPr="00CF34E7">
              <w:rPr>
                <w:sz w:val="28"/>
                <w:szCs w:val="28"/>
                <w:lang/>
              </w:rPr>
              <w:t xml:space="preserve"> след откриване на процедура чрез подбор;</w:t>
            </w:r>
          </w:p>
          <w:p w:rsidR="00816837" w:rsidRPr="00CF34E7" w:rsidRDefault="00816837" w:rsidP="007420EF">
            <w:pPr>
              <w:jc w:val="both"/>
              <w:rPr>
                <w:sz w:val="28"/>
                <w:szCs w:val="28"/>
                <w:lang/>
              </w:rPr>
            </w:pPr>
            <w:r w:rsidRPr="00CF34E7">
              <w:rPr>
                <w:sz w:val="28"/>
                <w:szCs w:val="28"/>
                <w:lang/>
              </w:rPr>
              <w:t xml:space="preserve">2. когато в срок до три </w:t>
            </w:r>
            <w:r w:rsidR="00FD6344">
              <w:rPr>
                <w:sz w:val="28"/>
                <w:szCs w:val="28"/>
                <w:lang/>
              </w:rPr>
              <w:t>дена</w:t>
            </w:r>
            <w:r w:rsidRPr="00CF34E7">
              <w:rPr>
                <w:sz w:val="28"/>
                <w:szCs w:val="28"/>
                <w:lang/>
              </w:rPr>
              <w:t xml:space="preserve"> преди изтичането на посочения краен срок  няма постъпили предложения или всички постъпили предложения са оттеглени;</w:t>
            </w:r>
          </w:p>
          <w:p w:rsidR="000578BC" w:rsidRPr="00CF34E7" w:rsidRDefault="00816837" w:rsidP="007420EF">
            <w:pPr>
              <w:jc w:val="both"/>
              <w:rPr>
                <w:rFonts w:eastAsia="Cambria"/>
                <w:color w:val="0070C0"/>
                <w:sz w:val="28"/>
                <w:szCs w:val="28"/>
              </w:rPr>
            </w:pPr>
            <w:r w:rsidRPr="00CF34E7">
              <w:rPr>
                <w:rFonts w:eastAsia="Calibri"/>
                <w:sz w:val="28"/>
                <w:szCs w:val="28"/>
                <w:lang/>
              </w:rPr>
              <w:t xml:space="preserve">3. когато общият размер на заявените средства за финансиране по </w:t>
            </w:r>
            <w:r w:rsidRPr="00CF34E7">
              <w:rPr>
                <w:rFonts w:eastAsia="Calibri"/>
                <w:sz w:val="28"/>
                <w:szCs w:val="28"/>
                <w:lang/>
              </w:rPr>
              <w:lastRenderedPageBreak/>
              <w:t>подадените предложения в рамките на посочения краен срок е по-малък от бюджета на процедурата.</w:t>
            </w:r>
          </w:p>
        </w:tc>
      </w:tr>
    </w:tbl>
    <w:p w:rsidR="000578BC" w:rsidRPr="003C5D2E" w:rsidRDefault="000578BC">
      <w:pPr>
        <w:rPr>
          <w:rFonts w:ascii="Times New Roman" w:eastAsia="Cambria" w:hAnsi="Times New Roman" w:cs="Times New Roman"/>
          <w:color w:val="0070C0"/>
          <w:sz w:val="28"/>
          <w:szCs w:val="28"/>
          <w:lang w:val="en-US"/>
        </w:rPr>
      </w:pPr>
    </w:p>
    <w:sectPr w:rsidR="000578BC" w:rsidRPr="003C5D2E" w:rsidSect="00520209">
      <w:headerReference w:type="default" r:id="rId13"/>
      <w:footerReference w:type="default" r:id="rId14"/>
      <w:pgSz w:w="11906" w:h="16838"/>
      <w:pgMar w:top="219" w:right="1133" w:bottom="709" w:left="1418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D8F" w:rsidRDefault="007E2D8F">
      <w:pPr>
        <w:spacing w:after="0"/>
      </w:pPr>
      <w:r>
        <w:separator/>
      </w:r>
    </w:p>
  </w:endnote>
  <w:endnote w:type="continuationSeparator" w:id="0">
    <w:p w:rsidR="007E2D8F" w:rsidRDefault="007E2D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8246079"/>
      <w:docPartObj>
        <w:docPartGallery w:val="Page Numbers (Bottom of Page)"/>
        <w:docPartUnique/>
      </w:docPartObj>
    </w:sdtPr>
    <w:sdtContent>
      <w:p w:rsidR="00415D66" w:rsidRDefault="00520209">
        <w:pPr>
          <w:pStyle w:val="Footer"/>
          <w:jc w:val="right"/>
        </w:pPr>
        <w:r>
          <w:fldChar w:fldCharType="begin"/>
        </w:r>
        <w:r w:rsidR="00415D66">
          <w:instrText>PAGE   \* MERGEFORMAT</w:instrText>
        </w:r>
        <w:r>
          <w:fldChar w:fldCharType="separate"/>
        </w:r>
        <w:r w:rsidR="00CD1C33">
          <w:rPr>
            <w:noProof/>
          </w:rPr>
          <w:t>4</w:t>
        </w:r>
        <w:r>
          <w:fldChar w:fldCharType="end"/>
        </w:r>
      </w:p>
    </w:sdtContent>
  </w:sdt>
  <w:p w:rsidR="00415D66" w:rsidRDefault="00415D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66" w:rsidRDefault="00415D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</w:p>
  <w:p w:rsidR="00415D66" w:rsidRDefault="00415D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66" w:rsidRDefault="005202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 w:rsidR="00415D66">
      <w:rPr>
        <w:color w:val="000000"/>
      </w:rPr>
      <w:instrText>PAGE</w:instrText>
    </w:r>
    <w:r>
      <w:rPr>
        <w:color w:val="000000"/>
      </w:rPr>
      <w:fldChar w:fldCharType="separate"/>
    </w:r>
    <w:r w:rsidR="003C5D2E">
      <w:rPr>
        <w:noProof/>
        <w:color w:val="000000"/>
      </w:rPr>
      <w:t>28</w:t>
    </w:r>
    <w:r>
      <w:rPr>
        <w:color w:val="000000"/>
      </w:rPr>
      <w:fldChar w:fldCharType="end"/>
    </w:r>
  </w:p>
  <w:p w:rsidR="00415D66" w:rsidRDefault="00415D6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D8F" w:rsidRDefault="007E2D8F">
      <w:pPr>
        <w:spacing w:after="0"/>
      </w:pPr>
      <w:r>
        <w:separator/>
      </w:r>
    </w:p>
  </w:footnote>
  <w:footnote w:type="continuationSeparator" w:id="0">
    <w:p w:rsidR="007E2D8F" w:rsidRDefault="007E2D8F">
      <w:pPr>
        <w:spacing w:after="0"/>
      </w:pPr>
      <w:r>
        <w:continuationSeparator/>
      </w:r>
    </w:p>
  </w:footnote>
  <w:footnote w:id="1">
    <w:p w:rsidR="00415D66" w:rsidRPr="00CF34E7" w:rsidRDefault="00415D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00CF34E7">
        <w:rPr>
          <w:rStyle w:val="FootnoteReference"/>
        </w:rPr>
        <w:footnoteRef/>
      </w:r>
      <w:r w:rsidRPr="00CF34E7">
        <w:rPr>
          <w:color w:val="000000"/>
          <w:sz w:val="20"/>
          <w:szCs w:val="20"/>
        </w:rPr>
        <w:t xml:space="preserve"> В съответствие с чл. 192, пар. 2 от Регламент (ЕС, ЕВРАТОМ) № 2018/1046 г. печалбата се определя като надвишаването на постъпленията спрямо допустимите разходи, направени от бенефициента по съответния проект в момента на предявяване на искане за окончателно плащане на отпусната по проекта безвъзмездна помощ. Посочените постъпления се ограничават до прихода, генериран от дейностите по проекта.</w:t>
      </w:r>
    </w:p>
  </w:footnote>
  <w:footnote w:id="2">
    <w:p w:rsidR="00415D66" w:rsidRPr="00CF34E7" w:rsidRDefault="00415D66">
      <w:pPr>
        <w:pStyle w:val="FootnoteText"/>
        <w:rPr>
          <w:lang w:val="bg-BG"/>
        </w:rPr>
      </w:pPr>
      <w:r w:rsidRPr="00CF34E7">
        <w:rPr>
          <w:rStyle w:val="FootnoteReference"/>
          <w:lang w:val="bg-BG"/>
        </w:rPr>
        <w:footnoteRef/>
      </w:r>
      <w:r w:rsidRPr="00CF34E7">
        <w:rPr>
          <w:lang w:val="bg-BG"/>
        </w:rPr>
        <w:t xml:space="preserve"> „Партньори на кандидатите за средства от Механизма за възстановяване и устойчивост“ са всички физически и юридически лица и техни обединения, които участват съвместно с кандидата в подготовката и/или техническото изпълнение на инвестицията или на предварително заявени във формуляра за кандидатстване дейности от инвестицията и разходват средства от МВУ.</w:t>
      </w:r>
    </w:p>
  </w:footnote>
  <w:footnote w:id="3">
    <w:p w:rsidR="00415D66" w:rsidRPr="00CF34E7" w:rsidRDefault="00415D66" w:rsidP="00141558">
      <w:pPr>
        <w:pStyle w:val="FootnoteText"/>
        <w:rPr>
          <w:lang w:val="bg-BG"/>
        </w:rPr>
      </w:pPr>
    </w:p>
  </w:footnote>
  <w:footnote w:id="4">
    <w:p w:rsidR="00415D66" w:rsidRPr="00CF34E7" w:rsidRDefault="00415D66" w:rsidP="00F92C07">
      <w:pPr>
        <w:pStyle w:val="FootnoteText"/>
        <w:jc w:val="both"/>
        <w:rPr>
          <w:lang w:val="bg-BG"/>
        </w:rPr>
      </w:pPr>
      <w:r w:rsidRPr="00CF34E7">
        <w:rPr>
          <w:rStyle w:val="FootnoteReference"/>
          <w:lang w:val="bg-BG"/>
        </w:rPr>
        <w:footnoteRef/>
      </w:r>
      <w:r w:rsidRPr="00CF34E7">
        <w:rPr>
          <w:lang w:val="bg-BG"/>
        </w:rPr>
        <w:t xml:space="preserve"> Дълготрайни материални активи са установими нефинансови ресурси, придобити и притежавани от предприятието, които имат натурално-веществена форма, използват се за производството и/или доставката/продажбата на активи или услуги, за отдаване под наем, за административни или за други цели и се очаква да бъдат използвани през повече от един отчетен период. За целите на настоящите условия за кандидатстване за ДМА ще се приемат активи преминаващи стойностния</w:t>
      </w:r>
    </w:p>
    <w:p w:rsidR="00415D66" w:rsidRPr="00CF34E7" w:rsidRDefault="00415D66" w:rsidP="00F92C07">
      <w:pPr>
        <w:pStyle w:val="FootnoteText"/>
        <w:jc w:val="both"/>
        <w:rPr>
          <w:lang w:val="bg-BG"/>
        </w:rPr>
      </w:pPr>
      <w:r w:rsidRPr="00CF34E7">
        <w:rPr>
          <w:lang w:val="bg-BG"/>
        </w:rPr>
        <w:t>праг на същественост съгласно чл. 50 от ЗКПО .</w:t>
      </w:r>
    </w:p>
  </w:footnote>
  <w:footnote w:id="5">
    <w:p w:rsidR="00415D66" w:rsidRPr="00CF34E7" w:rsidRDefault="00415D66" w:rsidP="00F92C07">
      <w:pPr>
        <w:pStyle w:val="FootnoteText"/>
        <w:jc w:val="both"/>
        <w:rPr>
          <w:lang w:val="bg-BG"/>
        </w:rPr>
      </w:pPr>
      <w:r w:rsidRPr="00CF34E7">
        <w:rPr>
          <w:rStyle w:val="FootnoteReference"/>
          <w:lang w:val="bg-BG"/>
        </w:rPr>
        <w:footnoteRef/>
      </w:r>
      <w:r w:rsidRPr="00CF34E7">
        <w:rPr>
          <w:lang w:val="bg-BG"/>
        </w:rPr>
        <w:t xml:space="preserve">  Дълготрайни нематериални активи са установими нефинансови ресурси, придобити и контролирани от предприятието, които нямат физическа субстанция, са със съществено значение при употребата им и  от използването им се очаква икономическа изгода.</w:t>
      </w:r>
    </w:p>
  </w:footnote>
  <w:footnote w:id="6">
    <w:p w:rsidR="00415D66" w:rsidRPr="00CF34E7" w:rsidRDefault="00415D66">
      <w:pPr>
        <w:pStyle w:val="FootnoteText"/>
        <w:rPr>
          <w:lang w:val="bg-BG"/>
        </w:rPr>
      </w:pPr>
      <w:r w:rsidRPr="00CF34E7">
        <w:rPr>
          <w:rStyle w:val="FootnoteReference"/>
          <w:lang w:val="bg-BG"/>
        </w:rPr>
        <w:footnoteRef/>
      </w:r>
      <w:r w:rsidRPr="00CF34E7">
        <w:rPr>
          <w:lang w:val="bg-BG"/>
        </w:rPr>
        <w:t xml:space="preserve"> Пътно превозно средство - съоръжение, придвижвано по пътя на колела и използвано за превозване на хора и/или товари. Към пътните превозни средства се приравняват трамваите, тракторите и самоходните машини, когато се придвижват по пътищата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66" w:rsidRDefault="00415D6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fffd"/>
      <w:tblW w:w="946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2830"/>
      <w:gridCol w:w="3828"/>
      <w:gridCol w:w="2806"/>
    </w:tblGrid>
    <w:tr w:rsidR="00415D66">
      <w:trPr>
        <w:trHeight w:val="1545"/>
      </w:trPr>
      <w:tc>
        <w:tcPr>
          <w:tcW w:w="2830" w:type="dxa"/>
        </w:tcPr>
        <w:p w:rsidR="00415D66" w:rsidRDefault="00415D66">
          <w:pPr>
            <w:jc w:val="center"/>
            <w:rPr>
              <w:sz w:val="28"/>
              <w:szCs w:val="28"/>
            </w:rPr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82550</wp:posOffset>
                </wp:positionV>
                <wp:extent cx="1002665" cy="600075"/>
                <wp:effectExtent l="0" t="0" r="0" b="0"/>
                <wp:wrapNone/>
                <wp:docPr id="650371662" name="Картина 650371662" descr="Description: eu_flag_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escription: eu_flag_1"/>
                        <pic:cNvPicPr preferRelativeResize="0"/>
                      </pic:nvPicPr>
                      <pic:blipFill>
                        <a:blip r:embed="rId1"/>
                        <a:srcRect t="92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266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415D66" w:rsidRDefault="00415D66">
          <w:pPr>
            <w:jc w:val="center"/>
            <w:rPr>
              <w:b/>
              <w:sz w:val="14"/>
              <w:szCs w:val="14"/>
            </w:rPr>
          </w:pPr>
        </w:p>
        <w:p w:rsidR="00415D66" w:rsidRDefault="00415D66">
          <w:pPr>
            <w:jc w:val="center"/>
            <w:rPr>
              <w:b/>
              <w:sz w:val="14"/>
              <w:szCs w:val="14"/>
            </w:rPr>
          </w:pPr>
        </w:p>
        <w:p w:rsidR="00415D66" w:rsidRDefault="00415D66">
          <w:pPr>
            <w:tabs>
              <w:tab w:val="center" w:pos="4153"/>
              <w:tab w:val="right" w:pos="9356"/>
            </w:tabs>
            <w:spacing w:after="0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2F5496"/>
              <w:sz w:val="24"/>
              <w:szCs w:val="24"/>
            </w:rPr>
            <w:t>Финансирано от Европейския съюз</w:t>
          </w:r>
        </w:p>
        <w:p w:rsidR="00415D66" w:rsidRDefault="00415D66">
          <w:pPr>
            <w:tabs>
              <w:tab w:val="center" w:pos="4153"/>
              <w:tab w:val="right" w:pos="9356"/>
            </w:tabs>
            <w:spacing w:after="0"/>
            <w:jc w:val="center"/>
            <w:rPr>
              <w:rFonts w:ascii="Candara" w:eastAsia="Candara" w:hAnsi="Candara" w:cs="Candara"/>
              <w:b/>
              <w:sz w:val="24"/>
              <w:szCs w:val="24"/>
            </w:rPr>
          </w:pPr>
          <w:r>
            <w:rPr>
              <w:rFonts w:ascii="Candara" w:eastAsia="Candara" w:hAnsi="Candara" w:cs="Candara"/>
              <w:b/>
              <w:color w:val="323E4F"/>
              <w:sz w:val="24"/>
              <w:szCs w:val="24"/>
            </w:rPr>
            <w:t>СледващоПоколениеЕС</w:t>
          </w:r>
        </w:p>
      </w:tc>
      <w:tc>
        <w:tcPr>
          <w:tcW w:w="3828" w:type="dxa"/>
        </w:tcPr>
        <w:p w:rsidR="00415D66" w:rsidRDefault="00415D66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noProof/>
              <w:sz w:val="20"/>
              <w:szCs w:val="20"/>
              <w:lang w:eastAsia="bg-BG"/>
            </w:rPr>
            <w:drawing>
              <wp:inline distT="0" distB="0" distL="0" distR="0">
                <wp:extent cx="721210" cy="638724"/>
                <wp:effectExtent l="0" t="0" r="0" b="0"/>
                <wp:docPr id="167801488" name="Картина 16780148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210" cy="63872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415D66" w:rsidRDefault="00415D66">
          <w:pPr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План за възстановяване и устойчивост</w:t>
          </w:r>
        </w:p>
      </w:tc>
      <w:tc>
        <w:tcPr>
          <w:tcW w:w="2806" w:type="dxa"/>
        </w:tcPr>
        <w:p w:rsidR="00415D66" w:rsidRDefault="00415D66">
          <w:pPr>
            <w:tabs>
              <w:tab w:val="center" w:pos="4153"/>
              <w:tab w:val="right" w:pos="9356"/>
            </w:tabs>
            <w:spacing w:after="0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347731</wp:posOffset>
                </wp:positionH>
                <wp:positionV relativeFrom="paragraph">
                  <wp:posOffset>137657</wp:posOffset>
                </wp:positionV>
                <wp:extent cx="790575" cy="662305"/>
                <wp:effectExtent l="0" t="0" r="0" b="0"/>
                <wp:wrapSquare wrapText="bothSides" distT="0" distB="0" distL="114300" distR="114300"/>
                <wp:docPr id="1148593103" name="Картина 1148593103" descr="Преглед на изображението източник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Преглед на изображението източник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6623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415D66" w:rsidRDefault="00415D66">
          <w:pPr>
            <w:tabs>
              <w:tab w:val="center" w:pos="4153"/>
              <w:tab w:val="right" w:pos="9356"/>
            </w:tabs>
            <w:spacing w:after="0"/>
            <w:rPr>
              <w:rFonts w:ascii="Arial" w:eastAsia="Arial" w:hAnsi="Arial" w:cs="Arial"/>
              <w:b/>
              <w:sz w:val="24"/>
              <w:szCs w:val="24"/>
            </w:rPr>
          </w:pPr>
        </w:p>
        <w:p w:rsidR="00415D66" w:rsidRDefault="00415D66">
          <w:pPr>
            <w:tabs>
              <w:tab w:val="center" w:pos="4153"/>
              <w:tab w:val="right" w:pos="9356"/>
            </w:tabs>
            <w:spacing w:after="0"/>
            <w:rPr>
              <w:rFonts w:ascii="Arial" w:eastAsia="Arial" w:hAnsi="Arial" w:cs="Arial"/>
              <w:b/>
              <w:sz w:val="24"/>
              <w:szCs w:val="24"/>
            </w:rPr>
          </w:pPr>
        </w:p>
        <w:p w:rsidR="00415D66" w:rsidRDefault="00415D66">
          <w:pPr>
            <w:tabs>
              <w:tab w:val="center" w:pos="4153"/>
              <w:tab w:val="right" w:pos="9356"/>
            </w:tabs>
            <w:spacing w:after="0"/>
            <w:rPr>
              <w:rFonts w:ascii="Arial" w:eastAsia="Arial" w:hAnsi="Arial" w:cs="Arial"/>
              <w:b/>
              <w:sz w:val="24"/>
              <w:szCs w:val="24"/>
            </w:rPr>
          </w:pPr>
        </w:p>
        <w:p w:rsidR="00415D66" w:rsidRDefault="00415D66">
          <w:pPr>
            <w:tabs>
              <w:tab w:val="center" w:pos="4153"/>
              <w:tab w:val="right" w:pos="9356"/>
            </w:tabs>
            <w:spacing w:after="0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 xml:space="preserve">  Република България</w:t>
          </w:r>
        </w:p>
      </w:tc>
    </w:tr>
  </w:tbl>
  <w:p w:rsidR="00415D66" w:rsidRDefault="00415D66">
    <w:pPr>
      <w:tabs>
        <w:tab w:val="center" w:pos="4153"/>
        <w:tab w:val="right" w:pos="9356"/>
      </w:tabs>
      <w:spacing w:after="240"/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66" w:rsidRDefault="00415D6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0"/>
        <w:szCs w:val="20"/>
      </w:rPr>
    </w:pPr>
  </w:p>
  <w:tbl>
    <w:tblPr>
      <w:tblStyle w:val="affffc"/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2830"/>
      <w:gridCol w:w="3686"/>
      <w:gridCol w:w="2806"/>
    </w:tblGrid>
    <w:tr w:rsidR="00415D66">
      <w:trPr>
        <w:trHeight w:val="1545"/>
      </w:trPr>
      <w:tc>
        <w:tcPr>
          <w:tcW w:w="2830" w:type="dxa"/>
        </w:tcPr>
        <w:p w:rsidR="00415D66" w:rsidRDefault="00415D66">
          <w:pPr>
            <w:jc w:val="center"/>
            <w:rPr>
              <w:sz w:val="28"/>
              <w:szCs w:val="28"/>
            </w:rPr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82550</wp:posOffset>
                </wp:positionV>
                <wp:extent cx="1002665" cy="600075"/>
                <wp:effectExtent l="0" t="0" r="0" b="0"/>
                <wp:wrapNone/>
                <wp:docPr id="912838809" name="Картина 912838809" descr="Description: eu_flag_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escription: eu_flag_1"/>
                        <pic:cNvPicPr preferRelativeResize="0"/>
                      </pic:nvPicPr>
                      <pic:blipFill>
                        <a:blip r:embed="rId1"/>
                        <a:srcRect t="92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266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415D66" w:rsidRDefault="00415D66">
          <w:pPr>
            <w:jc w:val="center"/>
            <w:rPr>
              <w:b/>
              <w:sz w:val="14"/>
              <w:szCs w:val="14"/>
            </w:rPr>
          </w:pPr>
        </w:p>
        <w:p w:rsidR="00415D66" w:rsidRDefault="00415D66">
          <w:pPr>
            <w:jc w:val="center"/>
            <w:rPr>
              <w:b/>
              <w:sz w:val="14"/>
              <w:szCs w:val="14"/>
            </w:rPr>
          </w:pPr>
        </w:p>
        <w:p w:rsidR="00415D66" w:rsidRDefault="00415D66">
          <w:pPr>
            <w:tabs>
              <w:tab w:val="center" w:pos="4153"/>
              <w:tab w:val="right" w:pos="9356"/>
            </w:tabs>
            <w:spacing w:after="0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2F5496"/>
              <w:sz w:val="24"/>
              <w:szCs w:val="24"/>
            </w:rPr>
            <w:t>Финансирано от Европейския съюз</w:t>
          </w:r>
        </w:p>
        <w:p w:rsidR="00415D66" w:rsidRDefault="00415D66">
          <w:pPr>
            <w:tabs>
              <w:tab w:val="center" w:pos="4153"/>
              <w:tab w:val="right" w:pos="9356"/>
            </w:tabs>
            <w:spacing w:after="0"/>
            <w:jc w:val="center"/>
            <w:rPr>
              <w:rFonts w:ascii="Candara" w:eastAsia="Candara" w:hAnsi="Candara" w:cs="Candara"/>
              <w:b/>
              <w:sz w:val="24"/>
              <w:szCs w:val="24"/>
            </w:rPr>
          </w:pPr>
          <w:r>
            <w:rPr>
              <w:rFonts w:ascii="Candara" w:eastAsia="Candara" w:hAnsi="Candara" w:cs="Candara"/>
              <w:b/>
              <w:color w:val="323E4F"/>
              <w:sz w:val="24"/>
              <w:szCs w:val="24"/>
            </w:rPr>
            <w:t>СледващоПоколениеЕС</w:t>
          </w:r>
        </w:p>
      </w:tc>
      <w:tc>
        <w:tcPr>
          <w:tcW w:w="3686" w:type="dxa"/>
        </w:tcPr>
        <w:p w:rsidR="00415D66" w:rsidRDefault="00415D66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noProof/>
              <w:sz w:val="20"/>
              <w:szCs w:val="20"/>
              <w:lang w:eastAsia="bg-BG"/>
            </w:rPr>
            <w:drawing>
              <wp:inline distT="0" distB="0" distL="0" distR="0">
                <wp:extent cx="721210" cy="638724"/>
                <wp:effectExtent l="0" t="0" r="0" b="0"/>
                <wp:docPr id="1796013426" name="Картина 17960134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210" cy="63872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415D66" w:rsidRDefault="00415D66">
          <w:pPr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План за възстановяване и устойчивост</w:t>
          </w:r>
        </w:p>
      </w:tc>
      <w:tc>
        <w:tcPr>
          <w:tcW w:w="2806" w:type="dxa"/>
        </w:tcPr>
        <w:p w:rsidR="00415D66" w:rsidRDefault="00415D66">
          <w:pPr>
            <w:tabs>
              <w:tab w:val="center" w:pos="4153"/>
              <w:tab w:val="right" w:pos="9356"/>
            </w:tabs>
            <w:spacing w:after="0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347731</wp:posOffset>
                </wp:positionH>
                <wp:positionV relativeFrom="paragraph">
                  <wp:posOffset>137657</wp:posOffset>
                </wp:positionV>
                <wp:extent cx="790575" cy="662305"/>
                <wp:effectExtent l="0" t="0" r="0" b="0"/>
                <wp:wrapSquare wrapText="bothSides" distT="0" distB="0" distL="114300" distR="114300"/>
                <wp:docPr id="1398916003" name="Картина 1398916003" descr="Преглед на изображението източник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Преглед на изображението източник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6623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415D66" w:rsidRDefault="00415D66">
          <w:pPr>
            <w:tabs>
              <w:tab w:val="center" w:pos="4153"/>
              <w:tab w:val="right" w:pos="9356"/>
            </w:tabs>
            <w:spacing w:after="0"/>
            <w:rPr>
              <w:rFonts w:ascii="Arial" w:eastAsia="Arial" w:hAnsi="Arial" w:cs="Arial"/>
              <w:b/>
              <w:sz w:val="24"/>
              <w:szCs w:val="24"/>
            </w:rPr>
          </w:pPr>
        </w:p>
        <w:p w:rsidR="00415D66" w:rsidRDefault="00415D66">
          <w:pPr>
            <w:tabs>
              <w:tab w:val="center" w:pos="4153"/>
              <w:tab w:val="right" w:pos="9356"/>
            </w:tabs>
            <w:spacing w:after="0"/>
            <w:rPr>
              <w:rFonts w:ascii="Arial" w:eastAsia="Arial" w:hAnsi="Arial" w:cs="Arial"/>
              <w:b/>
              <w:sz w:val="24"/>
              <w:szCs w:val="24"/>
            </w:rPr>
          </w:pPr>
        </w:p>
        <w:p w:rsidR="00415D66" w:rsidRDefault="00415D66">
          <w:pPr>
            <w:tabs>
              <w:tab w:val="center" w:pos="4153"/>
              <w:tab w:val="right" w:pos="9356"/>
            </w:tabs>
            <w:spacing w:after="0"/>
            <w:rPr>
              <w:rFonts w:ascii="Arial" w:eastAsia="Arial" w:hAnsi="Arial" w:cs="Arial"/>
              <w:b/>
              <w:sz w:val="24"/>
              <w:szCs w:val="24"/>
            </w:rPr>
          </w:pPr>
        </w:p>
        <w:p w:rsidR="00415D66" w:rsidRDefault="00415D66">
          <w:pPr>
            <w:tabs>
              <w:tab w:val="center" w:pos="4153"/>
              <w:tab w:val="right" w:pos="9356"/>
            </w:tabs>
            <w:spacing w:after="0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 xml:space="preserve">  Република България</w:t>
          </w:r>
        </w:p>
      </w:tc>
    </w:tr>
  </w:tbl>
  <w:p w:rsidR="00415D66" w:rsidRDefault="00415D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995"/>
      </w:tabs>
      <w:spacing w:after="0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66" w:rsidRDefault="00415D6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ffffe"/>
      <w:tblW w:w="935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2508"/>
      <w:gridCol w:w="4291"/>
      <w:gridCol w:w="2552"/>
    </w:tblGrid>
    <w:tr w:rsidR="00415D66">
      <w:trPr>
        <w:trHeight w:val="1692"/>
      </w:trPr>
      <w:tc>
        <w:tcPr>
          <w:tcW w:w="2508" w:type="dxa"/>
        </w:tcPr>
        <w:p w:rsidR="00415D66" w:rsidRDefault="00415D66">
          <w:pPr>
            <w:jc w:val="center"/>
            <w:rPr>
              <w:sz w:val="28"/>
              <w:szCs w:val="28"/>
            </w:rPr>
          </w:pPr>
          <w:bookmarkStart w:id="24" w:name="_heading=h.28h4qwu" w:colFirst="0" w:colLast="0"/>
          <w:bookmarkEnd w:id="24"/>
          <w:r>
            <w:rPr>
              <w:noProof/>
              <w:lang w:eastAsia="bg-BG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100330</wp:posOffset>
                </wp:positionV>
                <wp:extent cx="1002665" cy="600075"/>
                <wp:effectExtent l="0" t="0" r="0" b="0"/>
                <wp:wrapNone/>
                <wp:docPr id="32" name="image1.jpg" descr="Description: eu_flag_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escription: eu_flag_1"/>
                        <pic:cNvPicPr preferRelativeResize="0"/>
                      </pic:nvPicPr>
                      <pic:blipFill>
                        <a:blip r:embed="rId1"/>
                        <a:srcRect t="92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266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415D66" w:rsidRDefault="00415D66">
          <w:pPr>
            <w:jc w:val="center"/>
            <w:rPr>
              <w:b/>
              <w:sz w:val="14"/>
              <w:szCs w:val="14"/>
            </w:rPr>
          </w:pPr>
        </w:p>
        <w:p w:rsidR="00415D66" w:rsidRDefault="00415D66">
          <w:pPr>
            <w:widowControl w:val="0"/>
            <w:tabs>
              <w:tab w:val="center" w:pos="4153"/>
              <w:tab w:val="right" w:pos="9356"/>
            </w:tabs>
            <w:spacing w:after="0"/>
            <w:jc w:val="center"/>
            <w:rPr>
              <w:rFonts w:ascii="Arial" w:eastAsia="Arial" w:hAnsi="Arial" w:cs="Arial"/>
              <w:b/>
              <w:color w:val="31849B"/>
            </w:rPr>
          </w:pPr>
        </w:p>
        <w:p w:rsidR="00415D66" w:rsidRDefault="00415D66">
          <w:pPr>
            <w:widowControl w:val="0"/>
            <w:tabs>
              <w:tab w:val="center" w:pos="4153"/>
              <w:tab w:val="right" w:pos="9356"/>
            </w:tabs>
            <w:spacing w:after="0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31849B"/>
            </w:rPr>
            <w:t>Финансирано от Европейския съюз</w:t>
          </w:r>
        </w:p>
        <w:p w:rsidR="00415D66" w:rsidRDefault="00415D66">
          <w:pPr>
            <w:tabs>
              <w:tab w:val="center" w:pos="4153"/>
              <w:tab w:val="right" w:pos="9356"/>
            </w:tabs>
            <w:spacing w:after="0"/>
            <w:rPr>
              <w:rFonts w:ascii="Candara" w:eastAsia="Candara" w:hAnsi="Candara" w:cs="Candara"/>
              <w:b/>
              <w:sz w:val="24"/>
              <w:szCs w:val="24"/>
            </w:rPr>
          </w:pPr>
          <w:r>
            <w:rPr>
              <w:rFonts w:ascii="Candara" w:eastAsia="Candara" w:hAnsi="Candara" w:cs="Candara"/>
              <w:b/>
              <w:color w:val="17365D"/>
            </w:rPr>
            <w:t>СледващоПоколениеЕС</w:t>
          </w:r>
        </w:p>
      </w:tc>
      <w:tc>
        <w:tcPr>
          <w:tcW w:w="4291" w:type="dxa"/>
        </w:tcPr>
        <w:p w:rsidR="00415D66" w:rsidRDefault="00415D66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noProof/>
              <w:sz w:val="20"/>
              <w:szCs w:val="20"/>
              <w:lang w:eastAsia="bg-BG"/>
            </w:rPr>
            <w:drawing>
              <wp:inline distT="0" distB="0" distL="0" distR="0">
                <wp:extent cx="501806" cy="444413"/>
                <wp:effectExtent l="0" t="0" r="0" b="0"/>
                <wp:docPr id="3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806" cy="4444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415D66" w:rsidRDefault="00415D66">
          <w:pPr>
            <w:jc w:val="center"/>
            <w:rPr>
              <w:rFonts w:ascii="Candara" w:eastAsia="Candara" w:hAnsi="Candara" w:cs="Candara"/>
              <w:sz w:val="24"/>
              <w:szCs w:val="24"/>
            </w:rPr>
          </w:pPr>
          <w:r>
            <w:rPr>
              <w:rFonts w:ascii="Candara" w:eastAsia="Candara" w:hAnsi="Candara" w:cs="Candara"/>
              <w:b/>
              <w:sz w:val="24"/>
              <w:szCs w:val="24"/>
            </w:rPr>
            <w:t>План за възстановяване и устойчивост</w:t>
          </w:r>
        </w:p>
      </w:tc>
      <w:tc>
        <w:tcPr>
          <w:tcW w:w="2552" w:type="dxa"/>
        </w:tcPr>
        <w:p w:rsidR="00415D66" w:rsidRDefault="00415D66">
          <w:pPr>
            <w:tabs>
              <w:tab w:val="center" w:pos="4153"/>
              <w:tab w:val="right" w:pos="9356"/>
            </w:tabs>
            <w:spacing w:after="240"/>
            <w:rPr>
              <w:rFonts w:ascii="Candara" w:eastAsia="Candara" w:hAnsi="Candara" w:cs="Candara"/>
              <w:b/>
              <w:sz w:val="24"/>
              <w:szCs w:val="24"/>
            </w:rPr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327043</wp:posOffset>
                </wp:positionH>
                <wp:positionV relativeFrom="paragraph">
                  <wp:posOffset>-123680</wp:posOffset>
                </wp:positionV>
                <wp:extent cx="790575" cy="662305"/>
                <wp:effectExtent l="0" t="0" r="0" b="0"/>
                <wp:wrapSquare wrapText="bothSides" distT="0" distB="0" distL="114300" distR="114300"/>
                <wp:docPr id="28" name="image3.png" descr="Преглед на изображението източник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Преглед на изображението източник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6623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415D66" w:rsidRDefault="00415D66">
          <w:pPr>
            <w:tabs>
              <w:tab w:val="center" w:pos="4153"/>
              <w:tab w:val="right" w:pos="9356"/>
            </w:tabs>
            <w:spacing w:after="240"/>
            <w:rPr>
              <w:rFonts w:ascii="Candara" w:eastAsia="Candara" w:hAnsi="Candara" w:cs="Candara"/>
              <w:b/>
              <w:sz w:val="24"/>
              <w:szCs w:val="24"/>
            </w:rPr>
          </w:pPr>
        </w:p>
        <w:p w:rsidR="00415D66" w:rsidRDefault="00415D66">
          <w:pPr>
            <w:tabs>
              <w:tab w:val="center" w:pos="4153"/>
              <w:tab w:val="right" w:pos="9356"/>
            </w:tabs>
            <w:spacing w:after="240"/>
            <w:rPr>
              <w:rFonts w:ascii="Candara" w:eastAsia="Candara" w:hAnsi="Candara" w:cs="Candara"/>
              <w:b/>
              <w:sz w:val="24"/>
              <w:szCs w:val="24"/>
            </w:rPr>
          </w:pPr>
          <w:r>
            <w:rPr>
              <w:rFonts w:ascii="Candara" w:eastAsia="Candara" w:hAnsi="Candara" w:cs="Candara"/>
              <w:b/>
              <w:sz w:val="24"/>
              <w:szCs w:val="24"/>
            </w:rPr>
            <w:t>Република България</w:t>
          </w:r>
        </w:p>
      </w:tc>
    </w:tr>
  </w:tbl>
  <w:p w:rsidR="00415D66" w:rsidRDefault="00415D66">
    <w:pPr>
      <w:tabs>
        <w:tab w:val="center" w:pos="4153"/>
        <w:tab w:val="right" w:pos="9356"/>
      </w:tabs>
      <w:spacing w:after="240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5AF"/>
    <w:multiLevelType w:val="multilevel"/>
    <w:tmpl w:val="044AF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9A28C7"/>
    <w:multiLevelType w:val="multilevel"/>
    <w:tmpl w:val="1BFCE5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861942"/>
    <w:multiLevelType w:val="multilevel"/>
    <w:tmpl w:val="6FD6F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BBB3ADA"/>
    <w:multiLevelType w:val="multilevel"/>
    <w:tmpl w:val="12022B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1285CEB"/>
    <w:multiLevelType w:val="multilevel"/>
    <w:tmpl w:val="AF3E5D44"/>
    <w:lvl w:ilvl="0">
      <w:start w:val="2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98B166F"/>
    <w:multiLevelType w:val="hybridMultilevel"/>
    <w:tmpl w:val="E2FC77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D5AD4"/>
    <w:multiLevelType w:val="hybridMultilevel"/>
    <w:tmpl w:val="75EC77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358AD"/>
    <w:multiLevelType w:val="multilevel"/>
    <w:tmpl w:val="5364B7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CC90EEC"/>
    <w:multiLevelType w:val="hybridMultilevel"/>
    <w:tmpl w:val="36189B02"/>
    <w:lvl w:ilvl="0" w:tplc="E46A3B8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91371"/>
    <w:multiLevelType w:val="multilevel"/>
    <w:tmpl w:val="2CDC5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F5D7277"/>
    <w:multiLevelType w:val="hybridMultilevel"/>
    <w:tmpl w:val="01707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E01E1"/>
    <w:multiLevelType w:val="hybridMultilevel"/>
    <w:tmpl w:val="7858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DB531B"/>
    <w:multiLevelType w:val="multilevel"/>
    <w:tmpl w:val="0EAAF7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7B2AAD"/>
    <w:multiLevelType w:val="multilevel"/>
    <w:tmpl w:val="B14883DE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2D566CC2"/>
    <w:multiLevelType w:val="multilevel"/>
    <w:tmpl w:val="5D782CEE"/>
    <w:lvl w:ilvl="0">
      <w:start w:val="13"/>
      <w:numFmt w:val="decimal"/>
      <w:lvlText w:val="%1."/>
      <w:lvlJc w:val="left"/>
      <w:pPr>
        <w:ind w:left="1116" w:hanging="396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F6A8D"/>
    <w:multiLevelType w:val="multilevel"/>
    <w:tmpl w:val="E9B8C4AC"/>
    <w:lvl w:ilvl="0">
      <w:start w:val="2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AD35DAD"/>
    <w:multiLevelType w:val="multilevel"/>
    <w:tmpl w:val="0E7C01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D243BF5"/>
    <w:multiLevelType w:val="multilevel"/>
    <w:tmpl w:val="F9B2D4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39A35D9"/>
    <w:multiLevelType w:val="hybridMultilevel"/>
    <w:tmpl w:val="01707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72284"/>
    <w:multiLevelType w:val="hybridMultilevel"/>
    <w:tmpl w:val="FAA08E5E"/>
    <w:lvl w:ilvl="0" w:tplc="B6A4657E">
      <w:start w:val="1"/>
      <w:numFmt w:val="bullet"/>
      <w:lvlText w:val="-"/>
      <w:lvlJc w:val="left"/>
      <w:pPr>
        <w:ind w:left="360" w:hanging="360"/>
      </w:pPr>
      <w:rPr>
        <w:rFonts w:ascii="Candara" w:eastAsia="Times New Roman" w:hAnsi="Candar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5A91C0B"/>
    <w:multiLevelType w:val="hybridMultilevel"/>
    <w:tmpl w:val="2F08BA8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E927A6"/>
    <w:multiLevelType w:val="multilevel"/>
    <w:tmpl w:val="AB349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B128A"/>
    <w:multiLevelType w:val="multilevel"/>
    <w:tmpl w:val="99F0FD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D944C3D"/>
    <w:multiLevelType w:val="multilevel"/>
    <w:tmpl w:val="0C50BA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E41402F"/>
    <w:multiLevelType w:val="hybridMultilevel"/>
    <w:tmpl w:val="16AC0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14430B"/>
    <w:multiLevelType w:val="hybridMultilevel"/>
    <w:tmpl w:val="AB78A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D682AF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D3383"/>
    <w:multiLevelType w:val="hybridMultilevel"/>
    <w:tmpl w:val="ADD2C03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B144A5"/>
    <w:multiLevelType w:val="hybridMultilevel"/>
    <w:tmpl w:val="860E6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06451"/>
    <w:multiLevelType w:val="hybridMultilevel"/>
    <w:tmpl w:val="C8248DA2"/>
    <w:lvl w:ilvl="0" w:tplc="16A2B0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143C82"/>
    <w:multiLevelType w:val="multilevel"/>
    <w:tmpl w:val="058C063C"/>
    <w:lvl w:ilvl="0">
      <w:start w:val="1"/>
      <w:numFmt w:val="bullet"/>
      <w:lvlText w:val="-"/>
      <w:lvlJc w:val="left"/>
      <w:pPr>
        <w:ind w:left="360" w:hanging="360"/>
      </w:pPr>
      <w:rPr>
        <w:rFonts w:ascii="Candara" w:eastAsia="Candara" w:hAnsi="Candara" w:cs="Candar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7DD3328"/>
    <w:multiLevelType w:val="hybridMultilevel"/>
    <w:tmpl w:val="8982D872"/>
    <w:lvl w:ilvl="0" w:tplc="E46A3B8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9"/>
  </w:num>
  <w:num w:numId="5">
    <w:abstractNumId w:val="23"/>
  </w:num>
  <w:num w:numId="6">
    <w:abstractNumId w:val="1"/>
  </w:num>
  <w:num w:numId="7">
    <w:abstractNumId w:val="21"/>
  </w:num>
  <w:num w:numId="8">
    <w:abstractNumId w:val="13"/>
  </w:num>
  <w:num w:numId="9">
    <w:abstractNumId w:val="0"/>
  </w:num>
  <w:num w:numId="10">
    <w:abstractNumId w:val="14"/>
  </w:num>
  <w:num w:numId="11">
    <w:abstractNumId w:val="7"/>
  </w:num>
  <w:num w:numId="12">
    <w:abstractNumId w:val="29"/>
  </w:num>
  <w:num w:numId="13">
    <w:abstractNumId w:val="17"/>
  </w:num>
  <w:num w:numId="14">
    <w:abstractNumId w:val="19"/>
  </w:num>
  <w:num w:numId="15">
    <w:abstractNumId w:val="27"/>
  </w:num>
  <w:num w:numId="16">
    <w:abstractNumId w:val="22"/>
  </w:num>
  <w:num w:numId="17">
    <w:abstractNumId w:val="20"/>
  </w:num>
  <w:num w:numId="18">
    <w:abstractNumId w:val="28"/>
  </w:num>
  <w:num w:numId="19">
    <w:abstractNumId w:val="12"/>
  </w:num>
  <w:num w:numId="20">
    <w:abstractNumId w:val="17"/>
    <w:lvlOverride w:ilvl="0">
      <w:startOverride w:val="1"/>
    </w:lvlOverride>
  </w:num>
  <w:num w:numId="21">
    <w:abstractNumId w:val="2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6"/>
  </w:num>
  <w:num w:numId="28">
    <w:abstractNumId w:val="25"/>
  </w:num>
  <w:num w:numId="29">
    <w:abstractNumId w:val="24"/>
  </w:num>
  <w:num w:numId="30">
    <w:abstractNumId w:val="5"/>
  </w:num>
  <w:num w:numId="31">
    <w:abstractNumId w:val="18"/>
  </w:num>
  <w:num w:numId="32">
    <w:abstractNumId w:val="10"/>
  </w:num>
  <w:num w:numId="33">
    <w:abstractNumId w:val="16"/>
  </w:num>
  <w:num w:numId="34">
    <w:abstractNumId w:val="16"/>
  </w:num>
  <w:num w:numId="35">
    <w:abstractNumId w:val="4"/>
  </w:num>
  <w:num w:numId="36">
    <w:abstractNumId w:val="15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1"/>
  </w:num>
  <w:num w:numId="42">
    <w:abstractNumId w:val="8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hyphenationZone w:val="425"/>
  <w:characterSpacingControl w:val="doNotCompress"/>
  <w:hdrShapeDefaults>
    <o:shapedefaults v:ext="edit" spidmax="5122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0578BC"/>
    <w:rsid w:val="000020B9"/>
    <w:rsid w:val="00003C50"/>
    <w:rsid w:val="00004E75"/>
    <w:rsid w:val="00005761"/>
    <w:rsid w:val="000178A1"/>
    <w:rsid w:val="00021E13"/>
    <w:rsid w:val="00024466"/>
    <w:rsid w:val="00024CC9"/>
    <w:rsid w:val="00031B9C"/>
    <w:rsid w:val="00033288"/>
    <w:rsid w:val="00033BCD"/>
    <w:rsid w:val="00034EA3"/>
    <w:rsid w:val="00052356"/>
    <w:rsid w:val="000578BC"/>
    <w:rsid w:val="0007029F"/>
    <w:rsid w:val="0007055A"/>
    <w:rsid w:val="0007060A"/>
    <w:rsid w:val="00073B95"/>
    <w:rsid w:val="00084D2E"/>
    <w:rsid w:val="00085CE0"/>
    <w:rsid w:val="00091ABD"/>
    <w:rsid w:val="0009495E"/>
    <w:rsid w:val="00096703"/>
    <w:rsid w:val="000B1FEB"/>
    <w:rsid w:val="000B2827"/>
    <w:rsid w:val="000B4EE7"/>
    <w:rsid w:val="000C479B"/>
    <w:rsid w:val="000D50E4"/>
    <w:rsid w:val="000D5CC0"/>
    <w:rsid w:val="000F5BE1"/>
    <w:rsid w:val="000F7273"/>
    <w:rsid w:val="00100D27"/>
    <w:rsid w:val="00101AFD"/>
    <w:rsid w:val="0010450D"/>
    <w:rsid w:val="001047B6"/>
    <w:rsid w:val="00112683"/>
    <w:rsid w:val="0012077F"/>
    <w:rsid w:val="001209BC"/>
    <w:rsid w:val="001225A4"/>
    <w:rsid w:val="001225EB"/>
    <w:rsid w:val="0012409D"/>
    <w:rsid w:val="001344A9"/>
    <w:rsid w:val="00140F6C"/>
    <w:rsid w:val="00141558"/>
    <w:rsid w:val="00150E78"/>
    <w:rsid w:val="00151584"/>
    <w:rsid w:val="00152122"/>
    <w:rsid w:val="00155278"/>
    <w:rsid w:val="001577E3"/>
    <w:rsid w:val="001620DC"/>
    <w:rsid w:val="00166DB4"/>
    <w:rsid w:val="00176FDF"/>
    <w:rsid w:val="001803B8"/>
    <w:rsid w:val="00182103"/>
    <w:rsid w:val="00183E79"/>
    <w:rsid w:val="00190095"/>
    <w:rsid w:val="00195432"/>
    <w:rsid w:val="0019768A"/>
    <w:rsid w:val="00197834"/>
    <w:rsid w:val="001B1BCD"/>
    <w:rsid w:val="001B274E"/>
    <w:rsid w:val="001B578E"/>
    <w:rsid w:val="001B59E3"/>
    <w:rsid w:val="001C1780"/>
    <w:rsid w:val="001C2695"/>
    <w:rsid w:val="001F64A8"/>
    <w:rsid w:val="002018D1"/>
    <w:rsid w:val="00201BF2"/>
    <w:rsid w:val="00207BCB"/>
    <w:rsid w:val="00213C0E"/>
    <w:rsid w:val="00213FDF"/>
    <w:rsid w:val="002175F2"/>
    <w:rsid w:val="002231B7"/>
    <w:rsid w:val="00224ADF"/>
    <w:rsid w:val="00225BBF"/>
    <w:rsid w:val="00230815"/>
    <w:rsid w:val="00232371"/>
    <w:rsid w:val="00233100"/>
    <w:rsid w:val="00243F62"/>
    <w:rsid w:val="00251B21"/>
    <w:rsid w:val="0025200D"/>
    <w:rsid w:val="002520D0"/>
    <w:rsid w:val="00265C99"/>
    <w:rsid w:val="0027278F"/>
    <w:rsid w:val="00275B2D"/>
    <w:rsid w:val="002833F6"/>
    <w:rsid w:val="002916BF"/>
    <w:rsid w:val="002919A0"/>
    <w:rsid w:val="00292570"/>
    <w:rsid w:val="00294A7D"/>
    <w:rsid w:val="00294FC8"/>
    <w:rsid w:val="002B4409"/>
    <w:rsid w:val="002B6607"/>
    <w:rsid w:val="002B6B67"/>
    <w:rsid w:val="002C038C"/>
    <w:rsid w:val="002C3403"/>
    <w:rsid w:val="002C4CCE"/>
    <w:rsid w:val="002C708B"/>
    <w:rsid w:val="002D5FCA"/>
    <w:rsid w:val="002E1107"/>
    <w:rsid w:val="002E224A"/>
    <w:rsid w:val="002E522C"/>
    <w:rsid w:val="002F0327"/>
    <w:rsid w:val="002F09F0"/>
    <w:rsid w:val="002F20B6"/>
    <w:rsid w:val="002F5EFA"/>
    <w:rsid w:val="00303170"/>
    <w:rsid w:val="00310DB4"/>
    <w:rsid w:val="00313A38"/>
    <w:rsid w:val="00314C6E"/>
    <w:rsid w:val="00320921"/>
    <w:rsid w:val="00320ECA"/>
    <w:rsid w:val="00322F6E"/>
    <w:rsid w:val="003240E6"/>
    <w:rsid w:val="00335675"/>
    <w:rsid w:val="00341585"/>
    <w:rsid w:val="0034237F"/>
    <w:rsid w:val="00342BEF"/>
    <w:rsid w:val="00344811"/>
    <w:rsid w:val="00344F3B"/>
    <w:rsid w:val="003520AC"/>
    <w:rsid w:val="0035268B"/>
    <w:rsid w:val="00361F19"/>
    <w:rsid w:val="00362570"/>
    <w:rsid w:val="0038235F"/>
    <w:rsid w:val="00384971"/>
    <w:rsid w:val="00390383"/>
    <w:rsid w:val="003A77A4"/>
    <w:rsid w:val="003B485B"/>
    <w:rsid w:val="003B7EEF"/>
    <w:rsid w:val="003C2897"/>
    <w:rsid w:val="003C2A6D"/>
    <w:rsid w:val="003C4C8E"/>
    <w:rsid w:val="003C55FC"/>
    <w:rsid w:val="003C5D2E"/>
    <w:rsid w:val="003D258D"/>
    <w:rsid w:val="003D48E1"/>
    <w:rsid w:val="003D6A4F"/>
    <w:rsid w:val="003E0DF3"/>
    <w:rsid w:val="003E23FF"/>
    <w:rsid w:val="003E28B8"/>
    <w:rsid w:val="003F1981"/>
    <w:rsid w:val="003F5D35"/>
    <w:rsid w:val="003F7407"/>
    <w:rsid w:val="003F7BEC"/>
    <w:rsid w:val="004058E1"/>
    <w:rsid w:val="00407208"/>
    <w:rsid w:val="00415360"/>
    <w:rsid w:val="00415D66"/>
    <w:rsid w:val="004204CB"/>
    <w:rsid w:val="004212A3"/>
    <w:rsid w:val="0042408E"/>
    <w:rsid w:val="00431355"/>
    <w:rsid w:val="0043214B"/>
    <w:rsid w:val="004337DE"/>
    <w:rsid w:val="0043479D"/>
    <w:rsid w:val="004378E9"/>
    <w:rsid w:val="004454DC"/>
    <w:rsid w:val="00451812"/>
    <w:rsid w:val="00453DB4"/>
    <w:rsid w:val="00460310"/>
    <w:rsid w:val="00465BA8"/>
    <w:rsid w:val="004667ED"/>
    <w:rsid w:val="00467ABA"/>
    <w:rsid w:val="00474034"/>
    <w:rsid w:val="0047537F"/>
    <w:rsid w:val="00485C91"/>
    <w:rsid w:val="00486EB3"/>
    <w:rsid w:val="00491470"/>
    <w:rsid w:val="00494E30"/>
    <w:rsid w:val="004A47EA"/>
    <w:rsid w:val="004A7C2C"/>
    <w:rsid w:val="004B64FF"/>
    <w:rsid w:val="004C2CC4"/>
    <w:rsid w:val="004C4425"/>
    <w:rsid w:val="004C57AE"/>
    <w:rsid w:val="004C7995"/>
    <w:rsid w:val="004D271B"/>
    <w:rsid w:val="004D4A5B"/>
    <w:rsid w:val="004D51FB"/>
    <w:rsid w:val="004D6DAA"/>
    <w:rsid w:val="004E10FB"/>
    <w:rsid w:val="004E4DB5"/>
    <w:rsid w:val="004E6848"/>
    <w:rsid w:val="004F1B74"/>
    <w:rsid w:val="004F5CEC"/>
    <w:rsid w:val="00503920"/>
    <w:rsid w:val="00503979"/>
    <w:rsid w:val="00504FD7"/>
    <w:rsid w:val="00520209"/>
    <w:rsid w:val="00521BA3"/>
    <w:rsid w:val="0053217F"/>
    <w:rsid w:val="0053468D"/>
    <w:rsid w:val="0053502C"/>
    <w:rsid w:val="005350C2"/>
    <w:rsid w:val="00535369"/>
    <w:rsid w:val="005369F5"/>
    <w:rsid w:val="00547586"/>
    <w:rsid w:val="005475F5"/>
    <w:rsid w:val="00550CA0"/>
    <w:rsid w:val="00555C28"/>
    <w:rsid w:val="00561362"/>
    <w:rsid w:val="0056654D"/>
    <w:rsid w:val="0056769A"/>
    <w:rsid w:val="00567714"/>
    <w:rsid w:val="005801EE"/>
    <w:rsid w:val="00581734"/>
    <w:rsid w:val="00582360"/>
    <w:rsid w:val="005925AC"/>
    <w:rsid w:val="00592F9C"/>
    <w:rsid w:val="00596BA2"/>
    <w:rsid w:val="00596ECF"/>
    <w:rsid w:val="0059739E"/>
    <w:rsid w:val="005A41DD"/>
    <w:rsid w:val="005A42C0"/>
    <w:rsid w:val="005C1E43"/>
    <w:rsid w:val="005C61C8"/>
    <w:rsid w:val="005C7044"/>
    <w:rsid w:val="005D0761"/>
    <w:rsid w:val="005D1894"/>
    <w:rsid w:val="005D31C3"/>
    <w:rsid w:val="005D641D"/>
    <w:rsid w:val="005E03E5"/>
    <w:rsid w:val="005E6F8F"/>
    <w:rsid w:val="005E71D1"/>
    <w:rsid w:val="005F0DFE"/>
    <w:rsid w:val="005F4AEC"/>
    <w:rsid w:val="0060643F"/>
    <w:rsid w:val="006154FE"/>
    <w:rsid w:val="0062520A"/>
    <w:rsid w:val="006303C6"/>
    <w:rsid w:val="00630B65"/>
    <w:rsid w:val="0063776C"/>
    <w:rsid w:val="006422E1"/>
    <w:rsid w:val="00642B29"/>
    <w:rsid w:val="0064607C"/>
    <w:rsid w:val="0065397A"/>
    <w:rsid w:val="006557EA"/>
    <w:rsid w:val="00656F53"/>
    <w:rsid w:val="00660408"/>
    <w:rsid w:val="00665D50"/>
    <w:rsid w:val="00674101"/>
    <w:rsid w:val="006743D6"/>
    <w:rsid w:val="00675D3F"/>
    <w:rsid w:val="00676481"/>
    <w:rsid w:val="00685629"/>
    <w:rsid w:val="00693397"/>
    <w:rsid w:val="006965A8"/>
    <w:rsid w:val="00696A06"/>
    <w:rsid w:val="006A2AFC"/>
    <w:rsid w:val="006A35D7"/>
    <w:rsid w:val="006A6E84"/>
    <w:rsid w:val="006B354C"/>
    <w:rsid w:val="006B5216"/>
    <w:rsid w:val="006B6CF0"/>
    <w:rsid w:val="006D0B2D"/>
    <w:rsid w:val="006D2FD5"/>
    <w:rsid w:val="006D3832"/>
    <w:rsid w:val="006D793F"/>
    <w:rsid w:val="006E49C6"/>
    <w:rsid w:val="006E66DC"/>
    <w:rsid w:val="006F0099"/>
    <w:rsid w:val="006F04E1"/>
    <w:rsid w:val="006F098B"/>
    <w:rsid w:val="006F3AAA"/>
    <w:rsid w:val="006F4D15"/>
    <w:rsid w:val="00702333"/>
    <w:rsid w:val="0070510D"/>
    <w:rsid w:val="00707375"/>
    <w:rsid w:val="00715A60"/>
    <w:rsid w:val="00715F30"/>
    <w:rsid w:val="007230AA"/>
    <w:rsid w:val="00723E1A"/>
    <w:rsid w:val="00735D60"/>
    <w:rsid w:val="007367B2"/>
    <w:rsid w:val="00736910"/>
    <w:rsid w:val="00737227"/>
    <w:rsid w:val="00740BD5"/>
    <w:rsid w:val="007420EF"/>
    <w:rsid w:val="00750128"/>
    <w:rsid w:val="00751C4B"/>
    <w:rsid w:val="007532CC"/>
    <w:rsid w:val="00754A8D"/>
    <w:rsid w:val="00757D3F"/>
    <w:rsid w:val="00761CB3"/>
    <w:rsid w:val="00762379"/>
    <w:rsid w:val="00763FE0"/>
    <w:rsid w:val="00767211"/>
    <w:rsid w:val="0077220D"/>
    <w:rsid w:val="00777C90"/>
    <w:rsid w:val="00782429"/>
    <w:rsid w:val="0078357A"/>
    <w:rsid w:val="00784CA4"/>
    <w:rsid w:val="00785E17"/>
    <w:rsid w:val="00795BB4"/>
    <w:rsid w:val="00796D02"/>
    <w:rsid w:val="007B07DE"/>
    <w:rsid w:val="007B1700"/>
    <w:rsid w:val="007B5476"/>
    <w:rsid w:val="007C257E"/>
    <w:rsid w:val="007C5034"/>
    <w:rsid w:val="007D0ECC"/>
    <w:rsid w:val="007D6C01"/>
    <w:rsid w:val="007E2D8F"/>
    <w:rsid w:val="007E4C36"/>
    <w:rsid w:val="007F0803"/>
    <w:rsid w:val="007F0C09"/>
    <w:rsid w:val="007F4A23"/>
    <w:rsid w:val="007F713C"/>
    <w:rsid w:val="00800338"/>
    <w:rsid w:val="00803162"/>
    <w:rsid w:val="008040BC"/>
    <w:rsid w:val="00804CA6"/>
    <w:rsid w:val="00814766"/>
    <w:rsid w:val="00815EC4"/>
    <w:rsid w:val="00816837"/>
    <w:rsid w:val="0082283E"/>
    <w:rsid w:val="00822879"/>
    <w:rsid w:val="00831FBC"/>
    <w:rsid w:val="00844306"/>
    <w:rsid w:val="008457DF"/>
    <w:rsid w:val="00846B9D"/>
    <w:rsid w:val="00846FF6"/>
    <w:rsid w:val="0085199A"/>
    <w:rsid w:val="008540B9"/>
    <w:rsid w:val="00856F72"/>
    <w:rsid w:val="0085707E"/>
    <w:rsid w:val="00861DC9"/>
    <w:rsid w:val="00871B33"/>
    <w:rsid w:val="008823D8"/>
    <w:rsid w:val="00882A9F"/>
    <w:rsid w:val="00886364"/>
    <w:rsid w:val="00893F8F"/>
    <w:rsid w:val="008A0D10"/>
    <w:rsid w:val="008A46DE"/>
    <w:rsid w:val="008A538F"/>
    <w:rsid w:val="008A5DFE"/>
    <w:rsid w:val="008A6D26"/>
    <w:rsid w:val="008B7F68"/>
    <w:rsid w:val="008C214C"/>
    <w:rsid w:val="008C3C42"/>
    <w:rsid w:val="008C5126"/>
    <w:rsid w:val="008D7535"/>
    <w:rsid w:val="008E61C7"/>
    <w:rsid w:val="008E6321"/>
    <w:rsid w:val="008F142D"/>
    <w:rsid w:val="008F190A"/>
    <w:rsid w:val="008F3022"/>
    <w:rsid w:val="008F429A"/>
    <w:rsid w:val="008F6B0C"/>
    <w:rsid w:val="00900BF0"/>
    <w:rsid w:val="009158A6"/>
    <w:rsid w:val="009204B5"/>
    <w:rsid w:val="00924C03"/>
    <w:rsid w:val="00926F4A"/>
    <w:rsid w:val="00933152"/>
    <w:rsid w:val="00937DFD"/>
    <w:rsid w:val="00942F90"/>
    <w:rsid w:val="00945E9E"/>
    <w:rsid w:val="00951AC5"/>
    <w:rsid w:val="00952ADC"/>
    <w:rsid w:val="009533A6"/>
    <w:rsid w:val="00954BC6"/>
    <w:rsid w:val="00956E4C"/>
    <w:rsid w:val="009606C6"/>
    <w:rsid w:val="00963969"/>
    <w:rsid w:val="009642CA"/>
    <w:rsid w:val="0096794E"/>
    <w:rsid w:val="00970CB4"/>
    <w:rsid w:val="0099255A"/>
    <w:rsid w:val="0099428C"/>
    <w:rsid w:val="009A6197"/>
    <w:rsid w:val="009A685B"/>
    <w:rsid w:val="009B2B8E"/>
    <w:rsid w:val="009B5232"/>
    <w:rsid w:val="009B5C56"/>
    <w:rsid w:val="009C0DD7"/>
    <w:rsid w:val="009C1B47"/>
    <w:rsid w:val="009C2361"/>
    <w:rsid w:val="009C3C9F"/>
    <w:rsid w:val="009C44AA"/>
    <w:rsid w:val="009C4A87"/>
    <w:rsid w:val="009D1092"/>
    <w:rsid w:val="009D6B72"/>
    <w:rsid w:val="009D78F8"/>
    <w:rsid w:val="009E145E"/>
    <w:rsid w:val="009E21A9"/>
    <w:rsid w:val="009F64BB"/>
    <w:rsid w:val="00A01EB2"/>
    <w:rsid w:val="00A04261"/>
    <w:rsid w:val="00A043E6"/>
    <w:rsid w:val="00A06970"/>
    <w:rsid w:val="00A075DA"/>
    <w:rsid w:val="00A16D7F"/>
    <w:rsid w:val="00A22519"/>
    <w:rsid w:val="00A25EA4"/>
    <w:rsid w:val="00A274F5"/>
    <w:rsid w:val="00A27D54"/>
    <w:rsid w:val="00A368EB"/>
    <w:rsid w:val="00A3712E"/>
    <w:rsid w:val="00A41175"/>
    <w:rsid w:val="00A50EA1"/>
    <w:rsid w:val="00A51985"/>
    <w:rsid w:val="00A51D97"/>
    <w:rsid w:val="00A525A0"/>
    <w:rsid w:val="00A60805"/>
    <w:rsid w:val="00A6261F"/>
    <w:rsid w:val="00A63615"/>
    <w:rsid w:val="00A64117"/>
    <w:rsid w:val="00A65994"/>
    <w:rsid w:val="00A71C96"/>
    <w:rsid w:val="00A82911"/>
    <w:rsid w:val="00A8624F"/>
    <w:rsid w:val="00A8672E"/>
    <w:rsid w:val="00A87B11"/>
    <w:rsid w:val="00A912D7"/>
    <w:rsid w:val="00A94036"/>
    <w:rsid w:val="00A9699B"/>
    <w:rsid w:val="00A97788"/>
    <w:rsid w:val="00AA2F49"/>
    <w:rsid w:val="00AA6665"/>
    <w:rsid w:val="00AA7682"/>
    <w:rsid w:val="00AB0468"/>
    <w:rsid w:val="00AB0B87"/>
    <w:rsid w:val="00AB0F98"/>
    <w:rsid w:val="00AB1353"/>
    <w:rsid w:val="00AB157F"/>
    <w:rsid w:val="00AB7058"/>
    <w:rsid w:val="00AB7296"/>
    <w:rsid w:val="00AC4561"/>
    <w:rsid w:val="00AD231C"/>
    <w:rsid w:val="00AD436A"/>
    <w:rsid w:val="00AD4C7A"/>
    <w:rsid w:val="00AE17DA"/>
    <w:rsid w:val="00AE5093"/>
    <w:rsid w:val="00AE5FB7"/>
    <w:rsid w:val="00AF647B"/>
    <w:rsid w:val="00B011A3"/>
    <w:rsid w:val="00B125C3"/>
    <w:rsid w:val="00B12EFF"/>
    <w:rsid w:val="00B13472"/>
    <w:rsid w:val="00B2037D"/>
    <w:rsid w:val="00B214E9"/>
    <w:rsid w:val="00B273FE"/>
    <w:rsid w:val="00B31317"/>
    <w:rsid w:val="00B344EF"/>
    <w:rsid w:val="00B35649"/>
    <w:rsid w:val="00B4597E"/>
    <w:rsid w:val="00B640A8"/>
    <w:rsid w:val="00B657B4"/>
    <w:rsid w:val="00B65C31"/>
    <w:rsid w:val="00B72BF9"/>
    <w:rsid w:val="00B72CAE"/>
    <w:rsid w:val="00B8407A"/>
    <w:rsid w:val="00B840F7"/>
    <w:rsid w:val="00B92623"/>
    <w:rsid w:val="00BA4C3F"/>
    <w:rsid w:val="00BB2DD3"/>
    <w:rsid w:val="00BB36C1"/>
    <w:rsid w:val="00BB3947"/>
    <w:rsid w:val="00BB5E9B"/>
    <w:rsid w:val="00BB76D0"/>
    <w:rsid w:val="00BC1DAE"/>
    <w:rsid w:val="00BC6ACD"/>
    <w:rsid w:val="00BD2721"/>
    <w:rsid w:val="00BD5333"/>
    <w:rsid w:val="00BE168B"/>
    <w:rsid w:val="00BE476E"/>
    <w:rsid w:val="00BE56F7"/>
    <w:rsid w:val="00BF6336"/>
    <w:rsid w:val="00C004F2"/>
    <w:rsid w:val="00C02E10"/>
    <w:rsid w:val="00C033A6"/>
    <w:rsid w:val="00C06F62"/>
    <w:rsid w:val="00C07561"/>
    <w:rsid w:val="00C114EA"/>
    <w:rsid w:val="00C15618"/>
    <w:rsid w:val="00C17387"/>
    <w:rsid w:val="00C2233C"/>
    <w:rsid w:val="00C30908"/>
    <w:rsid w:val="00C31E75"/>
    <w:rsid w:val="00C34425"/>
    <w:rsid w:val="00C414D9"/>
    <w:rsid w:val="00C47660"/>
    <w:rsid w:val="00C51A65"/>
    <w:rsid w:val="00C53C6B"/>
    <w:rsid w:val="00C64E47"/>
    <w:rsid w:val="00C65A1F"/>
    <w:rsid w:val="00C65BAA"/>
    <w:rsid w:val="00C702D4"/>
    <w:rsid w:val="00C77323"/>
    <w:rsid w:val="00C83B8D"/>
    <w:rsid w:val="00CA013A"/>
    <w:rsid w:val="00CA551E"/>
    <w:rsid w:val="00CA6C1A"/>
    <w:rsid w:val="00CB0872"/>
    <w:rsid w:val="00CB2565"/>
    <w:rsid w:val="00CB38A1"/>
    <w:rsid w:val="00CC3AFE"/>
    <w:rsid w:val="00CC5EB0"/>
    <w:rsid w:val="00CC703A"/>
    <w:rsid w:val="00CC7125"/>
    <w:rsid w:val="00CC766B"/>
    <w:rsid w:val="00CC7BB2"/>
    <w:rsid w:val="00CD1C33"/>
    <w:rsid w:val="00CD6CB5"/>
    <w:rsid w:val="00CE4F35"/>
    <w:rsid w:val="00CE5CEC"/>
    <w:rsid w:val="00CF2C8F"/>
    <w:rsid w:val="00CF34E7"/>
    <w:rsid w:val="00D0343C"/>
    <w:rsid w:val="00D03637"/>
    <w:rsid w:val="00D0365C"/>
    <w:rsid w:val="00D03CB1"/>
    <w:rsid w:val="00D04839"/>
    <w:rsid w:val="00D06C2B"/>
    <w:rsid w:val="00D1049E"/>
    <w:rsid w:val="00D16DB4"/>
    <w:rsid w:val="00D17C25"/>
    <w:rsid w:val="00D21179"/>
    <w:rsid w:val="00D343B2"/>
    <w:rsid w:val="00D43C88"/>
    <w:rsid w:val="00D45A40"/>
    <w:rsid w:val="00D518FE"/>
    <w:rsid w:val="00D525F3"/>
    <w:rsid w:val="00D557D4"/>
    <w:rsid w:val="00D603FA"/>
    <w:rsid w:val="00D610FB"/>
    <w:rsid w:val="00D63C5A"/>
    <w:rsid w:val="00D832B5"/>
    <w:rsid w:val="00D83F01"/>
    <w:rsid w:val="00D91037"/>
    <w:rsid w:val="00D94BC2"/>
    <w:rsid w:val="00D96A7E"/>
    <w:rsid w:val="00D96F53"/>
    <w:rsid w:val="00DA25DB"/>
    <w:rsid w:val="00DB17D0"/>
    <w:rsid w:val="00DB7D2A"/>
    <w:rsid w:val="00DC43AA"/>
    <w:rsid w:val="00DC4C7D"/>
    <w:rsid w:val="00DD0B1A"/>
    <w:rsid w:val="00DD0B56"/>
    <w:rsid w:val="00DD2A1E"/>
    <w:rsid w:val="00DD401F"/>
    <w:rsid w:val="00DD46D6"/>
    <w:rsid w:val="00DD6535"/>
    <w:rsid w:val="00DE394D"/>
    <w:rsid w:val="00DF2050"/>
    <w:rsid w:val="00E03BFB"/>
    <w:rsid w:val="00E073BC"/>
    <w:rsid w:val="00E1551F"/>
    <w:rsid w:val="00E16787"/>
    <w:rsid w:val="00E22F3B"/>
    <w:rsid w:val="00E23E21"/>
    <w:rsid w:val="00E303E6"/>
    <w:rsid w:val="00E45F83"/>
    <w:rsid w:val="00E54747"/>
    <w:rsid w:val="00E55EFD"/>
    <w:rsid w:val="00E55FCC"/>
    <w:rsid w:val="00E61D27"/>
    <w:rsid w:val="00E70446"/>
    <w:rsid w:val="00E71C06"/>
    <w:rsid w:val="00E76A4B"/>
    <w:rsid w:val="00E8427D"/>
    <w:rsid w:val="00E919A8"/>
    <w:rsid w:val="00E91FE5"/>
    <w:rsid w:val="00EA6807"/>
    <w:rsid w:val="00EA71E8"/>
    <w:rsid w:val="00EB421E"/>
    <w:rsid w:val="00EB77C1"/>
    <w:rsid w:val="00EC0F60"/>
    <w:rsid w:val="00EC6C97"/>
    <w:rsid w:val="00ED14D6"/>
    <w:rsid w:val="00ED2F57"/>
    <w:rsid w:val="00ED3317"/>
    <w:rsid w:val="00EE06AE"/>
    <w:rsid w:val="00EE3902"/>
    <w:rsid w:val="00EE44B5"/>
    <w:rsid w:val="00EE5BAE"/>
    <w:rsid w:val="00EF0326"/>
    <w:rsid w:val="00EF21B7"/>
    <w:rsid w:val="00EF7383"/>
    <w:rsid w:val="00F066B0"/>
    <w:rsid w:val="00F22F1E"/>
    <w:rsid w:val="00F243AD"/>
    <w:rsid w:val="00F262B9"/>
    <w:rsid w:val="00F27E2A"/>
    <w:rsid w:val="00F30205"/>
    <w:rsid w:val="00F30B99"/>
    <w:rsid w:val="00F318D8"/>
    <w:rsid w:val="00F354E2"/>
    <w:rsid w:val="00F362C5"/>
    <w:rsid w:val="00F40DEF"/>
    <w:rsid w:val="00F4735D"/>
    <w:rsid w:val="00F47ED3"/>
    <w:rsid w:val="00F65BA6"/>
    <w:rsid w:val="00F67A2F"/>
    <w:rsid w:val="00F707D1"/>
    <w:rsid w:val="00F73EBC"/>
    <w:rsid w:val="00F86CB9"/>
    <w:rsid w:val="00F87F5C"/>
    <w:rsid w:val="00F90796"/>
    <w:rsid w:val="00F90AAC"/>
    <w:rsid w:val="00F90DF3"/>
    <w:rsid w:val="00F92C07"/>
    <w:rsid w:val="00F954D7"/>
    <w:rsid w:val="00F96036"/>
    <w:rsid w:val="00F97228"/>
    <w:rsid w:val="00FA23A1"/>
    <w:rsid w:val="00FA3708"/>
    <w:rsid w:val="00FA6122"/>
    <w:rsid w:val="00FA6C0A"/>
    <w:rsid w:val="00FA7814"/>
    <w:rsid w:val="00FB25B8"/>
    <w:rsid w:val="00FB2EF6"/>
    <w:rsid w:val="00FB3ECC"/>
    <w:rsid w:val="00FC6B9D"/>
    <w:rsid w:val="00FC71F3"/>
    <w:rsid w:val="00FD1BA5"/>
    <w:rsid w:val="00FD264A"/>
    <w:rsid w:val="00FD6344"/>
    <w:rsid w:val="00FD7BE8"/>
    <w:rsid w:val="00FE02B0"/>
    <w:rsid w:val="00FE18A5"/>
    <w:rsid w:val="00FE6C45"/>
    <w:rsid w:val="00FF26A2"/>
    <w:rsid w:val="00FF4B26"/>
    <w:rsid w:val="00FF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9F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621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F9B"/>
    <w:pPr>
      <w:keepNext/>
      <w:keepLines/>
      <w:numPr>
        <w:ilvl w:val="1"/>
        <w:numId w:val="2"/>
      </w:numPr>
      <w:spacing w:before="120" w:after="120" w:line="240" w:lineRule="auto"/>
      <w:jc w:val="both"/>
      <w:outlineLvl w:val="1"/>
    </w:pPr>
    <w:rPr>
      <w:rFonts w:ascii="Candara" w:eastAsia="Times New Roman" w:hAnsi="Candara"/>
      <w:b/>
      <w:bCs/>
      <w:color w:val="5B9BD5"/>
      <w:sz w:val="26"/>
      <w:szCs w:val="26"/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9D8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  <w:sz w:val="20"/>
      <w:szCs w:val="20"/>
      <w:lang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202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2020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202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2A60"/>
    <w:pPr>
      <w:autoSpaceDE w:val="0"/>
      <w:autoSpaceDN w:val="0"/>
      <w:adjustRightInd w:val="0"/>
      <w:spacing w:after="0" w:line="240" w:lineRule="auto"/>
      <w:ind w:left="5102"/>
    </w:pPr>
    <w:rPr>
      <w:rFonts w:ascii="Times New Roman" w:hAnsi="Times New Roman"/>
      <w:sz w:val="24"/>
      <w:szCs w:val="24"/>
      <w:lang w:eastAsia="bg-BG"/>
    </w:rPr>
  </w:style>
  <w:style w:type="paragraph" w:styleId="ListParagraph">
    <w:name w:val="List Paragraph"/>
    <w:aliases w:val="Bullet List,FooterText,List Paragraph1,Colorful List - Accent 1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7057A9"/>
    <w:pPr>
      <w:ind w:left="720"/>
      <w:contextualSpacing/>
    </w:pPr>
  </w:style>
  <w:style w:type="paragraph" w:styleId="FootnoteText">
    <w:name w:val="footnote text"/>
    <w:aliases w:val="stile 1,Footnote1,Footnote2,Footnote3,Footnote4,Footnote5,Footnote6,Footnote7,Footnote8,Footnote9,Footnote10,Footnote11,Footnote21,Footnote31,Footnote41,Footnote51,Footnote61,Footnote71,Footnote81,Footnote91,Fußnote,Fußnotentext arial,fn"/>
    <w:basedOn w:val="Normal"/>
    <w:link w:val="FootnoteTextChar"/>
    <w:uiPriority w:val="99"/>
    <w:unhideWhenUsed/>
    <w:qFormat/>
    <w:rsid w:val="002325A3"/>
    <w:pPr>
      <w:spacing w:after="0" w:line="240" w:lineRule="auto"/>
    </w:pPr>
    <w:rPr>
      <w:sz w:val="20"/>
      <w:szCs w:val="20"/>
      <w:lang/>
    </w:rPr>
  </w:style>
  <w:style w:type="character" w:customStyle="1" w:styleId="FootnoteTextChar">
    <w:name w:val="Footnote Text Char"/>
    <w:aliases w:val="stile 1 Char,Footnote1 Char,Footnote2 Char,Footnote3 Char,Footnote4 Char,Footnote5 Char,Footnote6 Char,Footnote7 Char,Footnote8 Char,Footnote9 Char,Footnote10 Char,Footnote11 Char,Footnote21 Char,Footnote31 Char,Footnote41 Char"/>
    <w:link w:val="FootnoteText"/>
    <w:uiPriority w:val="99"/>
    <w:rsid w:val="002325A3"/>
    <w:rPr>
      <w:sz w:val="20"/>
      <w:szCs w:val="20"/>
    </w:rPr>
  </w:style>
  <w:style w:type="character" w:styleId="FootnoteReference">
    <w:name w:val="footnote reference"/>
    <w:aliases w:val="Footnote symbol,Heading 4 Char2,Heading 4 Char1 Char,Heading 4 Char Char Char,Level 2 - a Char Char Char,Level 2 - a1 Char Char Char,Level 2 - a2 Char Char Char,Level 2 - a11 Char Char Char,Level 2 - a3 Char Char Char"/>
    <w:link w:val="SUPERSChar"/>
    <w:uiPriority w:val="99"/>
    <w:unhideWhenUsed/>
    <w:qFormat/>
    <w:rsid w:val="002325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6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2D4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B8"/>
  </w:style>
  <w:style w:type="paragraph" w:styleId="Footer">
    <w:name w:val="footer"/>
    <w:basedOn w:val="Normal"/>
    <w:link w:val="Foot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B8"/>
  </w:style>
  <w:style w:type="table" w:styleId="TableGrid">
    <w:name w:val="Table Grid"/>
    <w:basedOn w:val="TableNormal"/>
    <w:uiPriority w:val="39"/>
    <w:rsid w:val="00FC069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unhideWhenUsed/>
    <w:rsid w:val="00D6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AB6"/>
    <w:pPr>
      <w:spacing w:line="240" w:lineRule="auto"/>
    </w:pPr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rsid w:val="00D61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1AB6"/>
    <w:rPr>
      <w:b/>
      <w:bCs/>
      <w:sz w:val="20"/>
      <w:szCs w:val="20"/>
    </w:rPr>
  </w:style>
  <w:style w:type="paragraph" w:styleId="NormalWeb">
    <w:name w:val="Normal (Web)"/>
    <w:aliases w:val="Normal (Web) Char"/>
    <w:basedOn w:val="Normal"/>
    <w:link w:val="NormalWebChar1"/>
    <w:uiPriority w:val="99"/>
    <w:rsid w:val="009B59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Hyperlink">
    <w:name w:val="Hyperlink"/>
    <w:uiPriority w:val="99"/>
    <w:unhideWhenUsed/>
    <w:rsid w:val="006F25B9"/>
    <w:rPr>
      <w:color w:val="0563C1"/>
      <w:u w:val="single"/>
    </w:rPr>
  </w:style>
  <w:style w:type="paragraph" w:customStyle="1" w:styleId="Default">
    <w:name w:val="Default"/>
    <w:rsid w:val="00553F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F93621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93621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95B4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71046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81542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81542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81542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81542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81542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81542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81542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Heading2Char">
    <w:name w:val="Heading 2 Char"/>
    <w:link w:val="Heading2"/>
    <w:uiPriority w:val="9"/>
    <w:rsid w:val="00894F9B"/>
    <w:rPr>
      <w:rFonts w:ascii="Candara" w:eastAsia="Times New Roman" w:hAnsi="Candara"/>
      <w:b/>
      <w:bCs/>
      <w:color w:val="5B9BD5"/>
      <w:sz w:val="26"/>
      <w:szCs w:val="26"/>
      <w:lang/>
    </w:rPr>
  </w:style>
  <w:style w:type="character" w:customStyle="1" w:styleId="Heading3Char">
    <w:name w:val="Heading 3 Char"/>
    <w:link w:val="Heading3"/>
    <w:uiPriority w:val="9"/>
    <w:rsid w:val="00AF09D8"/>
    <w:rPr>
      <w:rFonts w:ascii="Calibri Light" w:eastAsia="Times New Roman" w:hAnsi="Calibri Light" w:cs="Times New Roman"/>
      <w:b/>
      <w:bCs/>
      <w:color w:val="5B9BD5"/>
    </w:rPr>
  </w:style>
  <w:style w:type="paragraph" w:styleId="Revision">
    <w:name w:val="Revision"/>
    <w:hidden/>
    <w:uiPriority w:val="99"/>
    <w:semiHidden/>
    <w:rsid w:val="007F4948"/>
    <w:rPr>
      <w:lang w:eastAsia="en-US"/>
    </w:rPr>
  </w:style>
  <w:style w:type="character" w:customStyle="1" w:styleId="ListParagraphChar">
    <w:name w:val="List Paragraph Char"/>
    <w:aliases w:val="Bullet List Char,FooterText Char,List Paragraph1 Char,Colorful List - Accent 11 Char,numbered Char,Paragraphe de liste1 Char,列出段落 Char,列出段落1 Char,Bulletr List Paragraph Char,List Paragraph2 Char,List Paragraph21 Char,リスト段落1 Char"/>
    <w:link w:val="ListParagraph"/>
    <w:qFormat/>
    <w:locked/>
    <w:rsid w:val="00006C36"/>
    <w:rPr>
      <w:sz w:val="22"/>
      <w:szCs w:val="22"/>
      <w:lang w:eastAsia="en-US"/>
    </w:rPr>
  </w:style>
  <w:style w:type="paragraph" w:customStyle="1" w:styleId="Text1">
    <w:name w:val="Text 1"/>
    <w:basedOn w:val="Normal"/>
    <w:rsid w:val="008E0140"/>
    <w:pPr>
      <w:spacing w:after="240" w:line="240" w:lineRule="auto"/>
      <w:ind w:left="482"/>
      <w:jc w:val="both"/>
    </w:pPr>
    <w:rPr>
      <w:rFonts w:ascii="Times New Roman" w:eastAsia="Times New Roman" w:hAnsi="Times New Roman"/>
      <w:snapToGrid w:val="0"/>
      <w:sz w:val="24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8928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92851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92851"/>
    <w:rPr>
      <w:vertAlign w:val="superscript"/>
    </w:rPr>
  </w:style>
  <w:style w:type="character" w:customStyle="1" w:styleId="NormalWebChar1">
    <w:name w:val="Normal (Web) Char1"/>
    <w:aliases w:val="Normal (Web) Char Char"/>
    <w:link w:val="NormalWeb"/>
    <w:rsid w:val="00F457B1"/>
    <w:rPr>
      <w:rFonts w:ascii="Times New Roman" w:eastAsia="Times New Roman" w:hAnsi="Times New Roman"/>
      <w:sz w:val="24"/>
      <w:szCs w:val="24"/>
    </w:rPr>
  </w:style>
  <w:style w:type="character" w:customStyle="1" w:styleId="legaldocreference">
    <w:name w:val="legaldocreference"/>
    <w:basedOn w:val="DefaultParagraphFont"/>
    <w:rsid w:val="00851667"/>
  </w:style>
  <w:style w:type="character" w:styleId="PlaceholderText">
    <w:name w:val="Placeholder Text"/>
    <w:basedOn w:val="DefaultParagraphFont"/>
    <w:uiPriority w:val="99"/>
    <w:semiHidden/>
    <w:rsid w:val="0085166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E3ED2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F13E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uiPriority w:val="1"/>
    <w:rsid w:val="00542A60"/>
    <w:rPr>
      <w:rFonts w:ascii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719E"/>
    <w:rPr>
      <w:color w:val="605E5C"/>
      <w:shd w:val="clear" w:color="auto" w:fill="E1DFDD"/>
    </w:rPr>
  </w:style>
  <w:style w:type="paragraph" w:styleId="Subtitle">
    <w:name w:val="Subtitle"/>
    <w:basedOn w:val="Normal"/>
    <w:next w:val="BodyText"/>
    <w:link w:val="SubtitleChar"/>
    <w:qFormat/>
    <w:rsid w:val="00520209"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528C"/>
    <w:rPr>
      <w:b/>
      <w:bCs/>
      <w:sz w:val="24"/>
      <w:szCs w:val="24"/>
    </w:rPr>
  </w:style>
  <w:style w:type="paragraph" w:customStyle="1" w:styleId="SUPERSChar">
    <w:name w:val="SUPERS Char"/>
    <w:aliases w:val="EN Footnote Reference Char"/>
    <w:basedOn w:val="Normal"/>
    <w:link w:val="FootnoteReference"/>
    <w:rsid w:val="0010528C"/>
    <w:pPr>
      <w:spacing w:line="240" w:lineRule="exact"/>
    </w:pPr>
    <w:rPr>
      <w:sz w:val="20"/>
      <w:szCs w:val="20"/>
      <w:vertAlign w:val="superscript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105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528C"/>
    <w:rPr>
      <w:sz w:val="22"/>
      <w:szCs w:val="22"/>
      <w:lang w:eastAsia="en-US"/>
    </w:rPr>
  </w:style>
  <w:style w:type="table" w:customStyle="1" w:styleId="a">
    <w:basedOn w:val="TableNormal"/>
    <w:rsid w:val="0052020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520209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52020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"/>
    <w:rsid w:val="00520209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9F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621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F9B"/>
    <w:pPr>
      <w:keepNext/>
      <w:keepLines/>
      <w:numPr>
        <w:ilvl w:val="1"/>
        <w:numId w:val="2"/>
      </w:numPr>
      <w:spacing w:before="120" w:after="120" w:line="240" w:lineRule="auto"/>
      <w:jc w:val="both"/>
      <w:outlineLvl w:val="1"/>
    </w:pPr>
    <w:rPr>
      <w:rFonts w:ascii="Candara" w:eastAsia="Times New Roman" w:hAnsi="Candara"/>
      <w:b/>
      <w:bCs/>
      <w:color w:val="5B9BD5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9D8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2A60"/>
    <w:pPr>
      <w:autoSpaceDE w:val="0"/>
      <w:autoSpaceDN w:val="0"/>
      <w:adjustRightInd w:val="0"/>
      <w:spacing w:after="0" w:line="240" w:lineRule="auto"/>
      <w:ind w:left="5102"/>
    </w:pPr>
    <w:rPr>
      <w:rFonts w:ascii="Times New Roman" w:hAnsi="Times New Roman"/>
      <w:sz w:val="24"/>
      <w:szCs w:val="24"/>
      <w:lang w:eastAsia="bg-BG"/>
    </w:rPr>
  </w:style>
  <w:style w:type="paragraph" w:styleId="ListParagraph">
    <w:name w:val="List Paragraph"/>
    <w:aliases w:val="Bullet List,FooterText,List Paragraph1,Colorful List - Accent 1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7057A9"/>
    <w:pPr>
      <w:ind w:left="720"/>
      <w:contextualSpacing/>
    </w:pPr>
  </w:style>
  <w:style w:type="paragraph" w:styleId="FootnoteText">
    <w:name w:val="footnote text"/>
    <w:aliases w:val="stile 1,Footnote1,Footnote2,Footnote3,Footnote4,Footnote5,Footnote6,Footnote7,Footnote8,Footnote9,Footnote10,Footnote11,Footnote21,Footnote31,Footnote41,Footnote51,Footnote61,Footnote71,Footnote81,Footnote91,Fußnote,Fußnotentext arial,fn"/>
    <w:basedOn w:val="Normal"/>
    <w:link w:val="FootnoteTextChar"/>
    <w:uiPriority w:val="99"/>
    <w:unhideWhenUsed/>
    <w:qFormat/>
    <w:rsid w:val="002325A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aliases w:val="stile 1 Char,Footnote1 Char,Footnote2 Char,Footnote3 Char,Footnote4 Char,Footnote5 Char,Footnote6 Char,Footnote7 Char,Footnote8 Char,Footnote9 Char,Footnote10 Char,Footnote11 Char,Footnote21 Char,Footnote31 Char,Footnote41 Char"/>
    <w:link w:val="FootnoteText"/>
    <w:uiPriority w:val="99"/>
    <w:rsid w:val="002325A3"/>
    <w:rPr>
      <w:sz w:val="20"/>
      <w:szCs w:val="20"/>
    </w:rPr>
  </w:style>
  <w:style w:type="character" w:styleId="FootnoteReference">
    <w:name w:val="footnote reference"/>
    <w:aliases w:val="Footnote symbol,Heading 4 Char2,Heading 4 Char1 Char,Heading 4 Char Char Char,Level 2 - a Char Char Char,Level 2 - a1 Char Char Char,Level 2 - a2 Char Char Char,Level 2 - a11 Char Char Char,Level 2 - a3 Char Char Char"/>
    <w:link w:val="SUPERSChar"/>
    <w:uiPriority w:val="99"/>
    <w:unhideWhenUsed/>
    <w:qFormat/>
    <w:rsid w:val="002325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6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D4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B8"/>
  </w:style>
  <w:style w:type="paragraph" w:styleId="Footer">
    <w:name w:val="footer"/>
    <w:basedOn w:val="Normal"/>
    <w:link w:val="Foot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B8"/>
  </w:style>
  <w:style w:type="table" w:styleId="TableGrid">
    <w:name w:val="Table Grid"/>
    <w:basedOn w:val="TableNormal"/>
    <w:uiPriority w:val="39"/>
    <w:rsid w:val="00FC069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unhideWhenUsed/>
    <w:rsid w:val="00D6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AB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D61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1AB6"/>
    <w:rPr>
      <w:b/>
      <w:bCs/>
      <w:sz w:val="20"/>
      <w:szCs w:val="20"/>
    </w:rPr>
  </w:style>
  <w:style w:type="paragraph" w:styleId="NormalWeb">
    <w:name w:val="Normal (Web)"/>
    <w:aliases w:val="Normal (Web) Char"/>
    <w:basedOn w:val="Normal"/>
    <w:link w:val="NormalWebChar1"/>
    <w:uiPriority w:val="99"/>
    <w:rsid w:val="009B59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Hyperlink">
    <w:name w:val="Hyperlink"/>
    <w:uiPriority w:val="99"/>
    <w:unhideWhenUsed/>
    <w:rsid w:val="006F25B9"/>
    <w:rPr>
      <w:color w:val="0563C1"/>
      <w:u w:val="single"/>
    </w:rPr>
  </w:style>
  <w:style w:type="paragraph" w:customStyle="1" w:styleId="Default">
    <w:name w:val="Default"/>
    <w:rsid w:val="00553F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F93621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93621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95B4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71046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81542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81542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81542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81542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81542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81542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81542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Heading2Char">
    <w:name w:val="Heading 2 Char"/>
    <w:link w:val="Heading2"/>
    <w:uiPriority w:val="9"/>
    <w:rsid w:val="00894F9B"/>
    <w:rPr>
      <w:rFonts w:ascii="Candara" w:eastAsia="Times New Roman" w:hAnsi="Candara"/>
      <w:b/>
      <w:bCs/>
      <w:color w:val="5B9BD5"/>
      <w:sz w:val="26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AF09D8"/>
    <w:rPr>
      <w:rFonts w:ascii="Calibri Light" w:eastAsia="Times New Roman" w:hAnsi="Calibri Light" w:cs="Times New Roman"/>
      <w:b/>
      <w:bCs/>
      <w:color w:val="5B9BD5"/>
    </w:rPr>
  </w:style>
  <w:style w:type="paragraph" w:styleId="Revision">
    <w:name w:val="Revision"/>
    <w:hidden/>
    <w:uiPriority w:val="99"/>
    <w:semiHidden/>
    <w:rsid w:val="007F4948"/>
    <w:rPr>
      <w:lang w:eastAsia="en-US"/>
    </w:rPr>
  </w:style>
  <w:style w:type="character" w:customStyle="1" w:styleId="ListParagraphChar">
    <w:name w:val="List Paragraph Char"/>
    <w:aliases w:val="Bullet List Char,FooterText Char,List Paragraph1 Char,Colorful List - Accent 11 Char,numbered Char,Paragraphe de liste1 Char,列出段落 Char,列出段落1 Char,Bulletr List Paragraph Char,List Paragraph2 Char,List Paragraph21 Char,リスト段落1 Char"/>
    <w:link w:val="ListParagraph"/>
    <w:qFormat/>
    <w:locked/>
    <w:rsid w:val="00006C36"/>
    <w:rPr>
      <w:sz w:val="22"/>
      <w:szCs w:val="22"/>
      <w:lang w:eastAsia="en-US"/>
    </w:rPr>
  </w:style>
  <w:style w:type="paragraph" w:customStyle="1" w:styleId="Text1">
    <w:name w:val="Text 1"/>
    <w:basedOn w:val="Normal"/>
    <w:rsid w:val="008E0140"/>
    <w:pPr>
      <w:spacing w:after="240" w:line="240" w:lineRule="auto"/>
      <w:ind w:left="482"/>
      <w:jc w:val="both"/>
    </w:pPr>
    <w:rPr>
      <w:rFonts w:ascii="Times New Roman" w:eastAsia="Times New Roman" w:hAnsi="Times New Roman"/>
      <w:snapToGrid w:val="0"/>
      <w:sz w:val="24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8928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92851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92851"/>
    <w:rPr>
      <w:vertAlign w:val="superscript"/>
    </w:rPr>
  </w:style>
  <w:style w:type="character" w:customStyle="1" w:styleId="NormalWebChar1">
    <w:name w:val="Normal (Web) Char1"/>
    <w:aliases w:val="Normal (Web) Char Char"/>
    <w:link w:val="NormalWeb"/>
    <w:rsid w:val="00F457B1"/>
    <w:rPr>
      <w:rFonts w:ascii="Times New Roman" w:eastAsia="Times New Roman" w:hAnsi="Times New Roman"/>
      <w:sz w:val="24"/>
      <w:szCs w:val="24"/>
    </w:rPr>
  </w:style>
  <w:style w:type="character" w:customStyle="1" w:styleId="legaldocreference">
    <w:name w:val="legaldocreference"/>
    <w:basedOn w:val="DefaultParagraphFont"/>
    <w:rsid w:val="00851667"/>
  </w:style>
  <w:style w:type="character" w:styleId="PlaceholderText">
    <w:name w:val="Placeholder Text"/>
    <w:basedOn w:val="DefaultParagraphFont"/>
    <w:uiPriority w:val="99"/>
    <w:semiHidden/>
    <w:rsid w:val="0085166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E3ED2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F13E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uiPriority w:val="1"/>
    <w:rsid w:val="00542A60"/>
    <w:rPr>
      <w:rFonts w:ascii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719E"/>
    <w:rPr>
      <w:color w:val="605E5C"/>
      <w:shd w:val="clear" w:color="auto" w:fill="E1DFDD"/>
    </w:rPr>
  </w:style>
  <w:style w:type="paragraph" w:styleId="Subtitle">
    <w:name w:val="Subtitle"/>
    <w:basedOn w:val="Normal"/>
    <w:next w:val="BodyText"/>
    <w:link w:val="SubtitleChar"/>
    <w:qFormat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528C"/>
    <w:rPr>
      <w:b/>
      <w:bCs/>
      <w:sz w:val="24"/>
      <w:szCs w:val="24"/>
    </w:rPr>
  </w:style>
  <w:style w:type="paragraph" w:customStyle="1" w:styleId="SUPERSChar">
    <w:name w:val="SUPERS Char"/>
    <w:aliases w:val="EN Footnote Reference Char"/>
    <w:basedOn w:val="Normal"/>
    <w:link w:val="FootnoteReference"/>
    <w:rsid w:val="0010528C"/>
    <w:pPr>
      <w:spacing w:line="240" w:lineRule="exact"/>
    </w:pPr>
    <w:rPr>
      <w:sz w:val="20"/>
      <w:szCs w:val="20"/>
      <w:vertAlign w:val="superscript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105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528C"/>
    <w:rPr>
      <w:sz w:val="22"/>
      <w:szCs w:val="22"/>
      <w:lang w:eastAsia="en-US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HSEUPq9ZyAO7xUeTn6+Wvuz7QA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4AHIhMUJEbFJlQmI1S2tISkNwMEgwdHNBeGwtWjZZeWlSNmQ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5A552F-8EF7-4EA3-8B1E-D4B695D0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7570</Words>
  <Characters>43154</Characters>
  <Application>Microsoft Office Word</Application>
  <DocSecurity>0</DocSecurity>
  <Lines>359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2023-09-21T08:57:00Z</cp:lastPrinted>
  <dcterms:created xsi:type="dcterms:W3CDTF">2024-02-23T09:05:00Z</dcterms:created>
  <dcterms:modified xsi:type="dcterms:W3CDTF">2024-02-23T09:05:00Z</dcterms:modified>
</cp:coreProperties>
</file>